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C0C9B" w14:textId="120F0F2A" w:rsidR="006E323A" w:rsidRPr="006E323A" w:rsidRDefault="006E323A" w:rsidP="007E6580">
      <w:pPr>
        <w:rPr>
          <w:rFonts w:ascii="Arial" w:hAnsi="Arial" w:cs="Arial"/>
          <w:b/>
          <w:bCs/>
          <w:sz w:val="20"/>
          <w:szCs w:val="20"/>
        </w:rPr>
      </w:pPr>
      <w:r w:rsidRPr="006E323A">
        <w:rPr>
          <w:rFonts w:ascii="Arial" w:hAnsi="Arial" w:cs="Arial"/>
          <w:sz w:val="20"/>
          <w:szCs w:val="20"/>
        </w:rPr>
        <w:t>The Excel</w:t>
      </w:r>
      <w:r w:rsidRPr="006E323A">
        <w:rPr>
          <w:rFonts w:ascii="Arial" w:hAnsi="Arial" w:cs="Arial"/>
          <w:sz w:val="20"/>
          <w:szCs w:val="20"/>
        </w:rPr>
        <w:t xml:space="preserve"> worksheet is a retirement planning tool that uses </w:t>
      </w:r>
      <w:r w:rsidRPr="006E323A">
        <w:rPr>
          <w:rFonts w:ascii="Arial" w:hAnsi="Arial" w:cs="Arial"/>
          <w:b/>
          <w:bCs/>
          <w:sz w:val="20"/>
          <w:szCs w:val="20"/>
        </w:rPr>
        <w:t>Monte Carlo simulations</w:t>
      </w:r>
      <w:r w:rsidRPr="006E323A">
        <w:rPr>
          <w:rFonts w:ascii="Arial" w:hAnsi="Arial" w:cs="Arial"/>
          <w:sz w:val="20"/>
          <w:szCs w:val="20"/>
        </w:rPr>
        <w:t> to model the growth of retirement savings under varying economic conditions. It incorporates key inputs such as current age, retirement age, life expectancy, salary, contribution rates, investment returns, inflation, and withdrawal rates to project the corpus required for retirement. The tool compares deterministic calculations (certainty cash flow) with probabilistic Monte Carlo simulations to provide a range of potential</w:t>
      </w:r>
      <w:r w:rsidR="007E6580">
        <w:rPr>
          <w:rFonts w:ascii="Arial" w:hAnsi="Arial" w:cs="Arial"/>
          <w:sz w:val="20"/>
          <w:szCs w:val="20"/>
        </w:rPr>
        <w:t xml:space="preserve"> </w:t>
      </w:r>
      <w:r w:rsidRPr="006E323A">
        <w:rPr>
          <w:rFonts w:ascii="Arial" w:hAnsi="Arial" w:cs="Arial"/>
          <w:sz w:val="20"/>
          <w:szCs w:val="20"/>
        </w:rPr>
        <w:t>outcomes.</w:t>
      </w:r>
      <w:r w:rsidRPr="006E323A">
        <w:rPr>
          <w:rFonts w:ascii="Arial" w:hAnsi="Arial" w:cs="Arial"/>
          <w:sz w:val="20"/>
          <w:szCs w:val="20"/>
        </w:rPr>
        <w:br/>
      </w:r>
      <w:r w:rsidRPr="006E323A">
        <w:rPr>
          <w:rFonts w:ascii="Arial" w:hAnsi="Arial" w:cs="Arial"/>
          <w:sz w:val="20"/>
          <w:szCs w:val="20"/>
        </w:rPr>
        <w:br/>
      </w:r>
      <w:r w:rsidRPr="006E323A">
        <w:rPr>
          <w:rFonts w:ascii="Arial" w:hAnsi="Arial" w:cs="Arial"/>
          <w:b/>
          <w:bCs/>
          <w:sz w:val="20"/>
          <w:szCs w:val="20"/>
        </w:rPr>
        <w:t>Key Components of the Worksheet</w:t>
      </w:r>
    </w:p>
    <w:p w14:paraId="488C7AA3" w14:textId="77777777" w:rsidR="006E323A" w:rsidRPr="006E323A" w:rsidRDefault="006E323A" w:rsidP="006E323A">
      <w:pPr>
        <w:numPr>
          <w:ilvl w:val="0"/>
          <w:numId w:val="1"/>
        </w:numPr>
        <w:jc w:val="both"/>
        <w:rPr>
          <w:rFonts w:ascii="Arial" w:hAnsi="Arial" w:cs="Arial"/>
          <w:sz w:val="20"/>
          <w:szCs w:val="20"/>
        </w:rPr>
      </w:pPr>
      <w:r w:rsidRPr="006E323A">
        <w:rPr>
          <w:rFonts w:ascii="Arial" w:hAnsi="Arial" w:cs="Arial"/>
          <w:b/>
          <w:bCs/>
          <w:sz w:val="20"/>
          <w:szCs w:val="20"/>
        </w:rPr>
        <w:t>Input Parameters</w:t>
      </w:r>
      <w:r w:rsidRPr="006E323A">
        <w:rPr>
          <w:rFonts w:ascii="Arial" w:hAnsi="Arial" w:cs="Arial"/>
          <w:sz w:val="20"/>
          <w:szCs w:val="20"/>
        </w:rPr>
        <w:t>:</w:t>
      </w:r>
    </w:p>
    <w:p w14:paraId="5049A15F" w14:textId="77777777"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Personal details (current age, retirement age, life expectancy).</w:t>
      </w:r>
    </w:p>
    <w:p w14:paraId="33C09167" w14:textId="77777777"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Financial assumptions (interest rates before/after retirement, inflation, salary growth, withdrawal rates).</w:t>
      </w:r>
    </w:p>
    <w:p w14:paraId="7D96F8BA" w14:textId="77777777"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Current savings, monthly contributions, and employer matches.</w:t>
      </w:r>
    </w:p>
    <w:p w14:paraId="23D0EF62" w14:textId="77777777" w:rsidR="006E323A" w:rsidRPr="006E323A" w:rsidRDefault="006E323A" w:rsidP="006E323A">
      <w:pPr>
        <w:numPr>
          <w:ilvl w:val="0"/>
          <w:numId w:val="1"/>
        </w:numPr>
        <w:jc w:val="both"/>
        <w:rPr>
          <w:rFonts w:ascii="Arial" w:hAnsi="Arial" w:cs="Arial"/>
          <w:sz w:val="20"/>
          <w:szCs w:val="20"/>
        </w:rPr>
      </w:pPr>
      <w:r w:rsidRPr="006E323A">
        <w:rPr>
          <w:rFonts w:ascii="Arial" w:hAnsi="Arial" w:cs="Arial"/>
          <w:b/>
          <w:bCs/>
          <w:sz w:val="20"/>
          <w:szCs w:val="20"/>
        </w:rPr>
        <w:t>Deterministic Calculations</w:t>
      </w:r>
      <w:r w:rsidRPr="006E323A">
        <w:rPr>
          <w:rFonts w:ascii="Arial" w:hAnsi="Arial" w:cs="Arial"/>
          <w:sz w:val="20"/>
          <w:szCs w:val="20"/>
        </w:rPr>
        <w:t>:</w:t>
      </w:r>
    </w:p>
    <w:p w14:paraId="217C472A" w14:textId="77777777"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Projects retirement corpus using fixed assumptions (e.g., FIRE rules like 25X or 33X annual expenses).</w:t>
      </w:r>
    </w:p>
    <w:p w14:paraId="37C2D174" w14:textId="77777777"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Uses present/future value formulas to estimate required savings.</w:t>
      </w:r>
    </w:p>
    <w:p w14:paraId="47EA15A6" w14:textId="77777777" w:rsidR="006E323A" w:rsidRPr="006E323A" w:rsidRDefault="006E323A" w:rsidP="006E323A">
      <w:pPr>
        <w:numPr>
          <w:ilvl w:val="0"/>
          <w:numId w:val="1"/>
        </w:numPr>
        <w:jc w:val="both"/>
        <w:rPr>
          <w:rFonts w:ascii="Arial" w:hAnsi="Arial" w:cs="Arial"/>
          <w:sz w:val="20"/>
          <w:szCs w:val="20"/>
        </w:rPr>
      </w:pPr>
      <w:r w:rsidRPr="006E323A">
        <w:rPr>
          <w:rFonts w:ascii="Arial" w:hAnsi="Arial" w:cs="Arial"/>
          <w:b/>
          <w:bCs/>
          <w:sz w:val="20"/>
          <w:szCs w:val="20"/>
        </w:rPr>
        <w:t>Monte Carlo Simulations</w:t>
      </w:r>
      <w:r w:rsidRPr="006E323A">
        <w:rPr>
          <w:rFonts w:ascii="Arial" w:hAnsi="Arial" w:cs="Arial"/>
          <w:sz w:val="20"/>
          <w:szCs w:val="20"/>
        </w:rPr>
        <w:t>:</w:t>
      </w:r>
    </w:p>
    <w:p w14:paraId="7A4D5838" w14:textId="3F6B5F0F"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 xml:space="preserve">Simulates </w:t>
      </w:r>
      <w:r w:rsidRPr="006E323A">
        <w:rPr>
          <w:rFonts w:ascii="Arial" w:hAnsi="Arial" w:cs="Arial"/>
          <w:sz w:val="20"/>
          <w:szCs w:val="20"/>
        </w:rPr>
        <w:t xml:space="preserve">5 </w:t>
      </w:r>
      <w:r w:rsidRPr="006E323A">
        <w:rPr>
          <w:rFonts w:ascii="Arial" w:hAnsi="Arial" w:cs="Arial"/>
          <w:sz w:val="20"/>
          <w:szCs w:val="20"/>
        </w:rPr>
        <w:t xml:space="preserve">thousand scenarios with </w:t>
      </w:r>
      <w:r w:rsidRPr="006E323A">
        <w:rPr>
          <w:rFonts w:ascii="Arial" w:hAnsi="Arial" w:cs="Arial"/>
          <w:sz w:val="20"/>
          <w:szCs w:val="20"/>
        </w:rPr>
        <w:t>randomised</w:t>
      </w:r>
      <w:r w:rsidRPr="006E323A">
        <w:rPr>
          <w:rFonts w:ascii="Arial" w:hAnsi="Arial" w:cs="Arial"/>
          <w:sz w:val="20"/>
          <w:szCs w:val="20"/>
        </w:rPr>
        <w:t xml:space="preserve"> returns and inflation rates (normally distributed around user-defined averages).</w:t>
      </w:r>
    </w:p>
    <w:p w14:paraId="043E5129" w14:textId="5BBFE911" w:rsidR="006E323A" w:rsidRPr="006E323A" w:rsidRDefault="006E323A" w:rsidP="006E323A">
      <w:pPr>
        <w:numPr>
          <w:ilvl w:val="1"/>
          <w:numId w:val="1"/>
        </w:numPr>
        <w:jc w:val="both"/>
        <w:rPr>
          <w:rFonts w:ascii="Arial" w:hAnsi="Arial" w:cs="Arial"/>
          <w:sz w:val="20"/>
          <w:szCs w:val="20"/>
        </w:rPr>
      </w:pPr>
      <w:r w:rsidRPr="006E323A">
        <w:rPr>
          <w:rFonts w:ascii="Arial" w:hAnsi="Arial" w:cs="Arial"/>
          <w:sz w:val="20"/>
          <w:szCs w:val="20"/>
        </w:rPr>
        <w:t>Tracks annual savings growth, withdrawals, and end balances to estimate the probability of success (not outliving savings).</w:t>
      </w:r>
    </w:p>
    <w:p w14:paraId="41C1C452" w14:textId="77777777" w:rsidR="006E323A" w:rsidRPr="006E323A" w:rsidRDefault="006E323A" w:rsidP="006E323A">
      <w:pPr>
        <w:jc w:val="both"/>
        <w:rPr>
          <w:rFonts w:ascii="Arial" w:hAnsi="Arial" w:cs="Arial"/>
          <w:b/>
          <w:bCs/>
          <w:sz w:val="20"/>
          <w:szCs w:val="20"/>
        </w:rPr>
      </w:pPr>
      <w:r w:rsidRPr="006E323A">
        <w:rPr>
          <w:rFonts w:ascii="Arial" w:hAnsi="Arial" w:cs="Arial"/>
          <w:b/>
          <w:bCs/>
          <w:sz w:val="20"/>
          <w:szCs w:val="20"/>
        </w:rPr>
        <w:t>Advantages of Monte Carlo Simulations</w:t>
      </w:r>
    </w:p>
    <w:p w14:paraId="419550E3" w14:textId="77777777" w:rsidR="006E323A" w:rsidRPr="006E323A" w:rsidRDefault="006E323A" w:rsidP="006E323A">
      <w:pPr>
        <w:numPr>
          <w:ilvl w:val="0"/>
          <w:numId w:val="2"/>
        </w:numPr>
        <w:jc w:val="both"/>
        <w:rPr>
          <w:rFonts w:ascii="Arial" w:hAnsi="Arial" w:cs="Arial"/>
          <w:sz w:val="20"/>
          <w:szCs w:val="20"/>
        </w:rPr>
      </w:pPr>
      <w:r w:rsidRPr="006E323A">
        <w:rPr>
          <w:rFonts w:ascii="Arial" w:hAnsi="Arial" w:cs="Arial"/>
          <w:b/>
          <w:bCs/>
          <w:sz w:val="20"/>
          <w:szCs w:val="20"/>
        </w:rPr>
        <w:t>Real-World Variability</w:t>
      </w:r>
      <w:r w:rsidRPr="006E323A">
        <w:rPr>
          <w:rFonts w:ascii="Arial" w:hAnsi="Arial" w:cs="Arial"/>
          <w:sz w:val="20"/>
          <w:szCs w:val="20"/>
        </w:rPr>
        <w:t>: Accounts for fluctuating market returns and inflation, unlike static models.</w:t>
      </w:r>
    </w:p>
    <w:p w14:paraId="184CD8CD" w14:textId="2028E9C7" w:rsidR="006E323A" w:rsidRPr="006E323A" w:rsidRDefault="006E323A" w:rsidP="006E323A">
      <w:pPr>
        <w:numPr>
          <w:ilvl w:val="0"/>
          <w:numId w:val="2"/>
        </w:numPr>
        <w:jc w:val="both"/>
        <w:rPr>
          <w:rFonts w:ascii="Arial" w:hAnsi="Arial" w:cs="Arial"/>
          <w:sz w:val="20"/>
          <w:szCs w:val="20"/>
        </w:rPr>
      </w:pPr>
      <w:r w:rsidRPr="006E323A">
        <w:rPr>
          <w:rFonts w:ascii="Arial" w:hAnsi="Arial" w:cs="Arial"/>
          <w:b/>
          <w:bCs/>
          <w:sz w:val="20"/>
          <w:szCs w:val="20"/>
        </w:rPr>
        <w:t>Risk Assessment</w:t>
      </w:r>
      <w:r w:rsidRPr="006E323A">
        <w:rPr>
          <w:rFonts w:ascii="Arial" w:hAnsi="Arial" w:cs="Arial"/>
          <w:sz w:val="20"/>
          <w:szCs w:val="20"/>
        </w:rPr>
        <w:t xml:space="preserve">: Reveals the </w:t>
      </w:r>
      <w:r w:rsidRPr="006E323A">
        <w:rPr>
          <w:rFonts w:ascii="Arial" w:hAnsi="Arial" w:cs="Arial"/>
          <w:sz w:val="20"/>
          <w:szCs w:val="20"/>
        </w:rPr>
        <w:t>likelihood of success or failure under various</w:t>
      </w:r>
      <w:r w:rsidRPr="006E323A">
        <w:rPr>
          <w:rFonts w:ascii="Arial" w:hAnsi="Arial" w:cs="Arial"/>
          <w:sz w:val="20"/>
          <w:szCs w:val="20"/>
        </w:rPr>
        <w:t xml:space="preserve"> conditions.</w:t>
      </w:r>
    </w:p>
    <w:p w14:paraId="5725FD20" w14:textId="46D80E00" w:rsidR="006E323A" w:rsidRPr="006E323A" w:rsidRDefault="006E323A" w:rsidP="006E323A">
      <w:pPr>
        <w:numPr>
          <w:ilvl w:val="0"/>
          <w:numId w:val="2"/>
        </w:numPr>
        <w:jc w:val="both"/>
        <w:rPr>
          <w:rFonts w:ascii="Arial" w:hAnsi="Arial" w:cs="Arial"/>
          <w:sz w:val="20"/>
          <w:szCs w:val="20"/>
        </w:rPr>
      </w:pPr>
      <w:r w:rsidRPr="006E323A">
        <w:rPr>
          <w:rFonts w:ascii="Arial" w:hAnsi="Arial" w:cs="Arial"/>
          <w:b/>
          <w:bCs/>
          <w:sz w:val="20"/>
          <w:szCs w:val="20"/>
        </w:rPr>
        <w:t>Flexibility</w:t>
      </w:r>
      <w:r w:rsidRPr="006E323A">
        <w:rPr>
          <w:rFonts w:ascii="Arial" w:hAnsi="Arial" w:cs="Arial"/>
          <w:sz w:val="20"/>
          <w:szCs w:val="20"/>
        </w:rPr>
        <w:t xml:space="preserve">: </w:t>
      </w:r>
      <w:r w:rsidRPr="006E323A">
        <w:rPr>
          <w:rFonts w:ascii="Arial" w:hAnsi="Arial" w:cs="Arial"/>
          <w:sz w:val="20"/>
          <w:szCs w:val="20"/>
        </w:rPr>
        <w:t>It adjusts</w:t>
      </w:r>
      <w:r w:rsidRPr="006E323A">
        <w:rPr>
          <w:rFonts w:ascii="Arial" w:hAnsi="Arial" w:cs="Arial"/>
          <w:sz w:val="20"/>
          <w:szCs w:val="20"/>
        </w:rPr>
        <w:t xml:space="preserve"> for changing contributions, lifespan, or economic scenarios.</w:t>
      </w:r>
    </w:p>
    <w:p w14:paraId="676C877E" w14:textId="77777777" w:rsidR="006E323A" w:rsidRPr="006E323A" w:rsidRDefault="006E323A" w:rsidP="006E323A">
      <w:pPr>
        <w:numPr>
          <w:ilvl w:val="0"/>
          <w:numId w:val="2"/>
        </w:numPr>
        <w:jc w:val="both"/>
        <w:rPr>
          <w:rFonts w:ascii="Arial" w:hAnsi="Arial" w:cs="Arial"/>
          <w:sz w:val="20"/>
          <w:szCs w:val="20"/>
        </w:rPr>
      </w:pPr>
      <w:r w:rsidRPr="006E323A">
        <w:rPr>
          <w:rFonts w:ascii="Arial" w:hAnsi="Arial" w:cs="Arial"/>
          <w:b/>
          <w:bCs/>
          <w:sz w:val="20"/>
          <w:szCs w:val="20"/>
        </w:rPr>
        <w:t>Visualization</w:t>
      </w:r>
      <w:r w:rsidRPr="006E323A">
        <w:rPr>
          <w:rFonts w:ascii="Arial" w:hAnsi="Arial" w:cs="Arial"/>
          <w:sz w:val="20"/>
          <w:szCs w:val="20"/>
        </w:rPr>
        <w:t>: Helps users understand the range of possible outcomes (e.g., "best case" vs. "worst case").</w:t>
      </w:r>
    </w:p>
    <w:p w14:paraId="4996E8EE" w14:textId="77777777" w:rsidR="006E323A" w:rsidRPr="006E323A" w:rsidRDefault="006E323A" w:rsidP="006E323A">
      <w:pPr>
        <w:jc w:val="both"/>
        <w:rPr>
          <w:rFonts w:ascii="Arial" w:hAnsi="Arial" w:cs="Arial"/>
          <w:b/>
          <w:bCs/>
          <w:sz w:val="20"/>
          <w:szCs w:val="20"/>
        </w:rPr>
      </w:pPr>
      <w:r w:rsidRPr="006E323A">
        <w:rPr>
          <w:rFonts w:ascii="Arial" w:hAnsi="Arial" w:cs="Arial"/>
          <w:b/>
          <w:bCs/>
          <w:sz w:val="20"/>
          <w:szCs w:val="20"/>
        </w:rPr>
        <w:t>Disadvantages</w:t>
      </w:r>
    </w:p>
    <w:p w14:paraId="3D72CB7A" w14:textId="5E715228" w:rsidR="006E323A" w:rsidRPr="006E323A" w:rsidRDefault="006E323A" w:rsidP="006E323A">
      <w:pPr>
        <w:numPr>
          <w:ilvl w:val="0"/>
          <w:numId w:val="3"/>
        </w:numPr>
        <w:jc w:val="both"/>
        <w:rPr>
          <w:rFonts w:ascii="Arial" w:hAnsi="Arial" w:cs="Arial"/>
          <w:sz w:val="20"/>
          <w:szCs w:val="20"/>
        </w:rPr>
      </w:pPr>
      <w:r w:rsidRPr="006E323A">
        <w:rPr>
          <w:rFonts w:ascii="Arial" w:hAnsi="Arial" w:cs="Arial"/>
          <w:b/>
          <w:bCs/>
          <w:sz w:val="20"/>
          <w:szCs w:val="20"/>
        </w:rPr>
        <w:t>Complexity</w:t>
      </w:r>
      <w:r w:rsidRPr="006E323A">
        <w:rPr>
          <w:rFonts w:ascii="Arial" w:hAnsi="Arial" w:cs="Arial"/>
          <w:sz w:val="20"/>
          <w:szCs w:val="20"/>
        </w:rPr>
        <w:t xml:space="preserve">: Requires robust </w:t>
      </w:r>
      <w:r w:rsidRPr="006E323A">
        <w:rPr>
          <w:rFonts w:ascii="Arial" w:hAnsi="Arial" w:cs="Arial"/>
          <w:sz w:val="20"/>
          <w:szCs w:val="20"/>
        </w:rPr>
        <w:t>modelling</w:t>
      </w:r>
      <w:r w:rsidRPr="006E323A">
        <w:rPr>
          <w:rFonts w:ascii="Arial" w:hAnsi="Arial" w:cs="Arial"/>
          <w:sz w:val="20"/>
          <w:szCs w:val="20"/>
        </w:rPr>
        <w:t xml:space="preserve"> and understanding of statistical assumptions (e.g., normal distribution of returns).</w:t>
      </w:r>
    </w:p>
    <w:p w14:paraId="77F4D910" w14:textId="7F45886E" w:rsidR="006E323A" w:rsidRPr="006E323A" w:rsidRDefault="006E323A" w:rsidP="006E323A">
      <w:pPr>
        <w:numPr>
          <w:ilvl w:val="0"/>
          <w:numId w:val="3"/>
        </w:numPr>
        <w:jc w:val="both"/>
        <w:rPr>
          <w:rFonts w:ascii="Arial" w:hAnsi="Arial" w:cs="Arial"/>
          <w:sz w:val="20"/>
          <w:szCs w:val="20"/>
        </w:rPr>
      </w:pPr>
      <w:r w:rsidRPr="006E323A">
        <w:rPr>
          <w:rFonts w:ascii="Arial" w:hAnsi="Arial" w:cs="Arial"/>
          <w:b/>
          <w:bCs/>
          <w:sz w:val="20"/>
          <w:szCs w:val="20"/>
        </w:rPr>
        <w:t>Garbage In, Garbage Out</w:t>
      </w:r>
      <w:r w:rsidRPr="006E323A">
        <w:rPr>
          <w:rFonts w:ascii="Arial" w:hAnsi="Arial" w:cs="Arial"/>
          <w:sz w:val="20"/>
          <w:szCs w:val="20"/>
        </w:rPr>
        <w:t xml:space="preserve">: Accuracy depends on input assumptions (e.g., if return distributions are </w:t>
      </w:r>
      <w:r w:rsidRPr="006E323A">
        <w:rPr>
          <w:rFonts w:ascii="Arial" w:hAnsi="Arial" w:cs="Arial"/>
          <w:sz w:val="20"/>
          <w:szCs w:val="20"/>
        </w:rPr>
        <w:t>misestimated</w:t>
      </w:r>
      <w:r w:rsidRPr="006E323A">
        <w:rPr>
          <w:rFonts w:ascii="Arial" w:hAnsi="Arial" w:cs="Arial"/>
          <w:sz w:val="20"/>
          <w:szCs w:val="20"/>
        </w:rPr>
        <w:t>, results will be skewed).</w:t>
      </w:r>
    </w:p>
    <w:p w14:paraId="0738418A" w14:textId="4904126A" w:rsidR="006E323A" w:rsidRPr="006E323A" w:rsidRDefault="006E323A" w:rsidP="006E323A">
      <w:pPr>
        <w:numPr>
          <w:ilvl w:val="0"/>
          <w:numId w:val="3"/>
        </w:numPr>
        <w:jc w:val="both"/>
        <w:rPr>
          <w:rFonts w:ascii="Arial" w:hAnsi="Arial" w:cs="Arial"/>
          <w:sz w:val="20"/>
          <w:szCs w:val="20"/>
        </w:rPr>
      </w:pPr>
      <w:r w:rsidRPr="006E323A">
        <w:rPr>
          <w:rFonts w:ascii="Arial" w:hAnsi="Arial" w:cs="Arial"/>
          <w:b/>
          <w:bCs/>
          <w:sz w:val="20"/>
          <w:szCs w:val="20"/>
        </w:rPr>
        <w:t>Overwhelming Outputs</w:t>
      </w:r>
      <w:r w:rsidRPr="006E323A">
        <w:rPr>
          <w:rFonts w:ascii="Arial" w:hAnsi="Arial" w:cs="Arial"/>
          <w:sz w:val="20"/>
          <w:szCs w:val="20"/>
        </w:rPr>
        <w:t xml:space="preserve">: </w:t>
      </w:r>
      <w:r w:rsidRPr="006E323A">
        <w:rPr>
          <w:rFonts w:ascii="Arial" w:hAnsi="Arial" w:cs="Arial"/>
          <w:sz w:val="20"/>
          <w:szCs w:val="20"/>
        </w:rPr>
        <w:t>These may</w:t>
      </w:r>
      <w:r w:rsidRPr="006E323A">
        <w:rPr>
          <w:rFonts w:ascii="Arial" w:hAnsi="Arial" w:cs="Arial"/>
          <w:sz w:val="20"/>
          <w:szCs w:val="20"/>
        </w:rPr>
        <w:t xml:space="preserve"> confuse users with too many scenarios or percentiles.</w:t>
      </w:r>
    </w:p>
    <w:p w14:paraId="1436EF07" w14:textId="77777777" w:rsidR="006E323A" w:rsidRPr="006E323A" w:rsidRDefault="006E323A" w:rsidP="006E323A">
      <w:pPr>
        <w:numPr>
          <w:ilvl w:val="0"/>
          <w:numId w:val="3"/>
        </w:numPr>
        <w:jc w:val="both"/>
        <w:rPr>
          <w:rFonts w:ascii="Arial" w:hAnsi="Arial" w:cs="Arial"/>
          <w:sz w:val="20"/>
          <w:szCs w:val="20"/>
        </w:rPr>
      </w:pPr>
      <w:r w:rsidRPr="006E323A">
        <w:rPr>
          <w:rFonts w:ascii="Arial" w:hAnsi="Arial" w:cs="Arial"/>
          <w:b/>
          <w:bCs/>
          <w:sz w:val="20"/>
          <w:szCs w:val="20"/>
        </w:rPr>
        <w:t>Black Swan Risks</w:t>
      </w:r>
      <w:r w:rsidRPr="006E323A">
        <w:rPr>
          <w:rFonts w:ascii="Arial" w:hAnsi="Arial" w:cs="Arial"/>
          <w:sz w:val="20"/>
          <w:szCs w:val="20"/>
        </w:rPr>
        <w:t>: Rare extreme events (e.g., market crashes) may not be fully captured.</w:t>
      </w:r>
    </w:p>
    <w:p w14:paraId="1A7C933F" w14:textId="77777777" w:rsidR="006E323A" w:rsidRPr="006E323A" w:rsidRDefault="006E323A" w:rsidP="006E323A">
      <w:pPr>
        <w:jc w:val="both"/>
        <w:rPr>
          <w:rFonts w:ascii="Arial" w:hAnsi="Arial" w:cs="Arial"/>
          <w:b/>
          <w:bCs/>
          <w:sz w:val="20"/>
          <w:szCs w:val="20"/>
        </w:rPr>
      </w:pPr>
      <w:r w:rsidRPr="006E323A">
        <w:rPr>
          <w:rFonts w:ascii="Arial" w:hAnsi="Arial" w:cs="Arial"/>
          <w:b/>
          <w:bCs/>
          <w:sz w:val="20"/>
          <w:szCs w:val="20"/>
        </w:rPr>
        <w:t>Conclusion</w:t>
      </w:r>
    </w:p>
    <w:p w14:paraId="5A223113" w14:textId="4047F013" w:rsidR="00C721FA" w:rsidRPr="006E323A" w:rsidRDefault="006E323A" w:rsidP="006E323A">
      <w:pPr>
        <w:jc w:val="both"/>
        <w:rPr>
          <w:rFonts w:ascii="Arial" w:hAnsi="Arial" w:cs="Arial"/>
          <w:sz w:val="20"/>
          <w:szCs w:val="20"/>
        </w:rPr>
      </w:pPr>
      <w:r w:rsidRPr="006E323A">
        <w:rPr>
          <w:rFonts w:ascii="Arial" w:hAnsi="Arial" w:cs="Arial"/>
          <w:sz w:val="20"/>
          <w:szCs w:val="20"/>
        </w:rPr>
        <w:t>Monte Carlo simulations enhance retirement planning by incorporating uncertainty, offering a more realistic view than deterministic models. However, they require careful input calibration and interpretation. Users should combine these insights with conservative assumptions (e.g., higher savings rates, lower withdrawal rates) to mitigate risks.</w:t>
      </w:r>
    </w:p>
    <w:sectPr w:rsidR="00C721FA" w:rsidRPr="006E323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EDA78" w14:textId="77777777" w:rsidR="00BB1A1D" w:rsidRDefault="00BB1A1D" w:rsidP="006E323A">
      <w:pPr>
        <w:spacing w:after="0" w:line="240" w:lineRule="auto"/>
      </w:pPr>
      <w:r>
        <w:separator/>
      </w:r>
    </w:p>
  </w:endnote>
  <w:endnote w:type="continuationSeparator" w:id="0">
    <w:p w14:paraId="1A6EA6C6" w14:textId="77777777" w:rsidR="00BB1A1D" w:rsidRDefault="00BB1A1D" w:rsidP="006E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9E8CF" w14:textId="77777777" w:rsidR="006E323A" w:rsidRDefault="006E3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59FE" w14:textId="77777777" w:rsidR="006E323A" w:rsidRDefault="006E3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DC6E4" w14:textId="77777777" w:rsidR="006E323A" w:rsidRDefault="006E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CE2A" w14:textId="77777777" w:rsidR="00BB1A1D" w:rsidRDefault="00BB1A1D" w:rsidP="006E323A">
      <w:pPr>
        <w:spacing w:after="0" w:line="240" w:lineRule="auto"/>
      </w:pPr>
      <w:r>
        <w:separator/>
      </w:r>
    </w:p>
  </w:footnote>
  <w:footnote w:type="continuationSeparator" w:id="0">
    <w:p w14:paraId="0819C41A" w14:textId="77777777" w:rsidR="00BB1A1D" w:rsidRDefault="00BB1A1D" w:rsidP="006E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5770F" w14:textId="77777777" w:rsidR="006E323A" w:rsidRDefault="006E3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D93E" w14:textId="77777777" w:rsidR="006E323A" w:rsidRDefault="006E3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5E14" w14:textId="77777777" w:rsidR="006E323A" w:rsidRDefault="006E3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599F"/>
    <w:multiLevelType w:val="multilevel"/>
    <w:tmpl w:val="FCFC0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47697"/>
    <w:multiLevelType w:val="multilevel"/>
    <w:tmpl w:val="B21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B37B9"/>
    <w:multiLevelType w:val="multilevel"/>
    <w:tmpl w:val="C32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332164">
    <w:abstractNumId w:val="0"/>
  </w:num>
  <w:num w:numId="2" w16cid:durableId="693506150">
    <w:abstractNumId w:val="2"/>
  </w:num>
  <w:num w:numId="3" w16cid:durableId="41917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5E"/>
    <w:rsid w:val="003C1C8E"/>
    <w:rsid w:val="006E323A"/>
    <w:rsid w:val="007E6580"/>
    <w:rsid w:val="00BB1A1D"/>
    <w:rsid w:val="00C0585E"/>
    <w:rsid w:val="00C7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A98CD"/>
  <w15:chartTrackingRefBased/>
  <w15:docId w15:val="{F3E67032-AC94-4C5C-BB67-8A549B3A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85E"/>
    <w:rPr>
      <w:rFonts w:eastAsiaTheme="majorEastAsia" w:cstheme="majorBidi"/>
      <w:color w:val="272727" w:themeColor="text1" w:themeTint="D8"/>
    </w:rPr>
  </w:style>
  <w:style w:type="paragraph" w:styleId="Title">
    <w:name w:val="Title"/>
    <w:basedOn w:val="Normal"/>
    <w:next w:val="Normal"/>
    <w:link w:val="TitleChar"/>
    <w:uiPriority w:val="10"/>
    <w:qFormat/>
    <w:rsid w:val="00C05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85E"/>
    <w:pPr>
      <w:spacing w:before="160"/>
      <w:jc w:val="center"/>
    </w:pPr>
    <w:rPr>
      <w:i/>
      <w:iCs/>
      <w:color w:val="404040" w:themeColor="text1" w:themeTint="BF"/>
    </w:rPr>
  </w:style>
  <w:style w:type="character" w:customStyle="1" w:styleId="QuoteChar">
    <w:name w:val="Quote Char"/>
    <w:basedOn w:val="DefaultParagraphFont"/>
    <w:link w:val="Quote"/>
    <w:uiPriority w:val="29"/>
    <w:rsid w:val="00C0585E"/>
    <w:rPr>
      <w:i/>
      <w:iCs/>
      <w:color w:val="404040" w:themeColor="text1" w:themeTint="BF"/>
    </w:rPr>
  </w:style>
  <w:style w:type="paragraph" w:styleId="ListParagraph">
    <w:name w:val="List Paragraph"/>
    <w:basedOn w:val="Normal"/>
    <w:uiPriority w:val="34"/>
    <w:qFormat/>
    <w:rsid w:val="00C0585E"/>
    <w:pPr>
      <w:ind w:left="720"/>
      <w:contextualSpacing/>
    </w:pPr>
  </w:style>
  <w:style w:type="character" w:styleId="IntenseEmphasis">
    <w:name w:val="Intense Emphasis"/>
    <w:basedOn w:val="DefaultParagraphFont"/>
    <w:uiPriority w:val="21"/>
    <w:qFormat/>
    <w:rsid w:val="00C0585E"/>
    <w:rPr>
      <w:i/>
      <w:iCs/>
      <w:color w:val="0F4761" w:themeColor="accent1" w:themeShade="BF"/>
    </w:rPr>
  </w:style>
  <w:style w:type="paragraph" w:styleId="IntenseQuote">
    <w:name w:val="Intense Quote"/>
    <w:basedOn w:val="Normal"/>
    <w:next w:val="Normal"/>
    <w:link w:val="IntenseQuoteChar"/>
    <w:uiPriority w:val="30"/>
    <w:qFormat/>
    <w:rsid w:val="00C05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85E"/>
    <w:rPr>
      <w:i/>
      <w:iCs/>
      <w:color w:val="0F4761" w:themeColor="accent1" w:themeShade="BF"/>
    </w:rPr>
  </w:style>
  <w:style w:type="character" w:styleId="IntenseReference">
    <w:name w:val="Intense Reference"/>
    <w:basedOn w:val="DefaultParagraphFont"/>
    <w:uiPriority w:val="32"/>
    <w:qFormat/>
    <w:rsid w:val="00C0585E"/>
    <w:rPr>
      <w:b/>
      <w:bCs/>
      <w:smallCaps/>
      <w:color w:val="0F4761" w:themeColor="accent1" w:themeShade="BF"/>
      <w:spacing w:val="5"/>
    </w:rPr>
  </w:style>
  <w:style w:type="paragraph" w:styleId="Header">
    <w:name w:val="header"/>
    <w:basedOn w:val="Normal"/>
    <w:link w:val="HeaderChar"/>
    <w:uiPriority w:val="99"/>
    <w:unhideWhenUsed/>
    <w:rsid w:val="006E3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3A"/>
  </w:style>
  <w:style w:type="paragraph" w:styleId="Footer">
    <w:name w:val="footer"/>
    <w:basedOn w:val="Normal"/>
    <w:link w:val="FooterChar"/>
    <w:uiPriority w:val="99"/>
    <w:unhideWhenUsed/>
    <w:rsid w:val="006E3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3081">
      <w:bodyDiv w:val="1"/>
      <w:marLeft w:val="0"/>
      <w:marRight w:val="0"/>
      <w:marTop w:val="0"/>
      <w:marBottom w:val="0"/>
      <w:divBdr>
        <w:top w:val="none" w:sz="0" w:space="0" w:color="auto"/>
        <w:left w:val="none" w:sz="0" w:space="0" w:color="auto"/>
        <w:bottom w:val="none" w:sz="0" w:space="0" w:color="auto"/>
        <w:right w:val="none" w:sz="0" w:space="0" w:color="auto"/>
      </w:divBdr>
    </w:div>
    <w:div w:id="649869778">
      <w:bodyDiv w:val="1"/>
      <w:marLeft w:val="0"/>
      <w:marRight w:val="0"/>
      <w:marTop w:val="0"/>
      <w:marBottom w:val="0"/>
      <w:divBdr>
        <w:top w:val="none" w:sz="0" w:space="0" w:color="auto"/>
        <w:left w:val="none" w:sz="0" w:space="0" w:color="auto"/>
        <w:bottom w:val="none" w:sz="0" w:space="0" w:color="auto"/>
        <w:right w:val="none" w:sz="0" w:space="0" w:color="auto"/>
      </w:divBdr>
    </w:div>
    <w:div w:id="699355848">
      <w:bodyDiv w:val="1"/>
      <w:marLeft w:val="0"/>
      <w:marRight w:val="0"/>
      <w:marTop w:val="0"/>
      <w:marBottom w:val="0"/>
      <w:divBdr>
        <w:top w:val="none" w:sz="0" w:space="0" w:color="auto"/>
        <w:left w:val="none" w:sz="0" w:space="0" w:color="auto"/>
        <w:bottom w:val="none" w:sz="0" w:space="0" w:color="auto"/>
        <w:right w:val="none" w:sz="0" w:space="0" w:color="auto"/>
      </w:divBdr>
    </w:div>
    <w:div w:id="183494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329</Words>
  <Characters>2175</Characters>
  <Application>Microsoft Office Word</Application>
  <DocSecurity>0</DocSecurity>
  <Lines>42</Lines>
  <Paragraphs>26</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Rekhawat</dc:creator>
  <cp:keywords/>
  <dc:description/>
  <cp:lastModifiedBy>Sambhav Rekhawat</cp:lastModifiedBy>
  <cp:revision>3</cp:revision>
  <dcterms:created xsi:type="dcterms:W3CDTF">2025-04-06T08:18:00Z</dcterms:created>
  <dcterms:modified xsi:type="dcterms:W3CDTF">2025-04-06T08:22:00Z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20da5161807d553ae13e057b24ec16de71729b8fea72f90a9237512eed6703d1</vt:lpwstr>
  </property>
</Properties>
</file>