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b/>
          <w:bCs/>
          <w:color w:val="13294B"/>
          <w:sz w:val="64"/>
          <w:szCs w:val="64"/>
        </w:rPr>
        <w:t xml:space="preserve">PATH-SHAALA</w:t>
      </w:r>
    </w:p>
    <w:p>
      <w:pPr>
        <w:spacing w:after="700"/>
        <w:jc w:val="center"/>
      </w:pPr>
      <w:r>
        <w:rPr>
          <w:i/>
          <w:iCs/>
          <w:color w:val="B8860B"/>
          <w:sz w:val="26"/>
          <w:szCs w:val="26"/>
        </w:rPr>
        <w:t xml:space="preserve">The Professional Network for India's Education Workforce</w:t>
      </w:r>
    </w:p>
    <w:p>
      <w:pPr>
        <w:spacing w:after="200"/>
        <w:jc w:val="center"/>
      </w:pPr>
      <w:r>
        <w:rPr>
          <w:b/>
          <w:bCs/>
          <w:sz w:val="32"/>
          <w:szCs w:val="32"/>
        </w:rPr>
        <w:t xml:space="preserve">Market Research &amp; Opportunity Assessment</w:t>
      </w:r>
    </w:p>
    <w:p>
      <w:pPr>
        <w:spacing w:after="1400"/>
        <w:jc w:val="center"/>
      </w:pPr>
      <w:r>
        <w:rPr>
          <w:color w:val="595959"/>
          <w:sz w:val="24"/>
          <w:szCs w:val="24"/>
        </w:rPr>
        <w:t xml:space="preserve">India's K-12 Teacher Supply, Demand &amp; Hiring Ecosystem</w:t>
      </w:r>
    </w:p>
    <w:p>
      <w:pPr>
        <w:jc w:val="center"/>
      </w:pPr>
      <w:r>
        <w:rPr>
          <w:color w:val="595959"/>
          <w:sz w:val="20"/>
          <w:szCs w:val="20"/>
        </w:rPr>
        <w:t xml:space="preserve">Internal Strategy Document | 2026</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Executive Summary</w:t>
      </w:r>
    </w:p>
    <w:p>
      <w:pPr>
        <w:spacing w:after="160"/>
      </w:pPr>
      <w:r>
        <w:t xml:space="preserve">India runs the largest school system in the world — 14.71 lakh schools, 24.69 crore students, and 1.01 crore (10.12 million) teachers as of 2024-25. Yet the system is structurally mismatched: rural areas hold 82% of schools but a disproportionate share operate with a single teacher; private unaided schools employ 39% of the teaching workforce on pay that is roughly half of government scale and largely without job contracts; and states such as Jharkhand and Bihar report vacancy rates of 40% and 32% respectively. This is not a shortage of people wanting to teach — it is a coordination, trust, and visibility failure.</w:t>
      </w:r>
    </w:p>
    <w:p>
      <w:pPr>
        <w:spacing w:after="160"/>
      </w:pPr>
      <w:r>
        <w:t xml:space="preserve">Path-shaala's premise — a LinkedIn-style professional network connecting private schools and social-impact education organisations with teachers, layered with structured assessment and upskilling — sits directly on top of this gap. The research compiled here validates three structural conditions that support the opportunity:</w:t>
      </w:r>
    </w:p>
    <w:p>
      <w:pPr>
        <w:pStyle w:val="ListParagraph"/>
        <w:numPr>
          <w:ilvl w:val="0"/>
          <w:numId w:val="1"/>
        </w:numPr>
        <w:spacing w:after="80"/>
      </w:pPr>
      <w:r>
        <w:rPr>
          <w:b/>
          <w:bCs/>
        </w:rPr>
        <w:t xml:space="preserve">A large, underserved supply pool: </w:t>
      </w:r>
      <w:r>
        <w:t xml:space="preserve">10.12M teachers nationally, ~70% of them effectively rural-facing, with 34.49% due to retire in the next 15-25 years, creating sustained replacement demand alongside net new hiring.</w:t>
      </w:r>
    </w:p>
    <w:p>
      <w:pPr>
        <w:pStyle w:val="ListParagraph"/>
        <w:numPr>
          <w:ilvl w:val="0"/>
          <w:numId w:val="1"/>
        </w:numPr>
        <w:spacing w:after="80"/>
      </w:pPr>
      <w:r>
        <w:rPr>
          <w:b/>
          <w:bCs/>
        </w:rPr>
        <w:t xml:space="preserve">A fragmented, low-trust demand side: </w:t>
      </w:r>
      <w:r>
        <w:t xml:space="preserve">existing 'teacher job portal' competitors (EduHire360, educatorOne, TeachersJob.in, etc.) are undifferentiated listing boards with no assessment, no quality signal, and no retention tooling — leaving NGOs, trusts, and low-fee private schools to hire on referrals and luck.</w:t>
      </w:r>
    </w:p>
    <w:p>
      <w:pPr>
        <w:pStyle w:val="ListParagraph"/>
        <w:numPr>
          <w:ilvl w:val="0"/>
          <w:numId w:val="1"/>
        </w:numPr>
        <w:spacing w:after="80"/>
      </w:pPr>
      <w:r>
        <w:rPr>
          <w:b/>
          <w:bCs/>
        </w:rPr>
        <w:t xml:space="preserve">A policy tailwind: </w:t>
      </w:r>
      <w:r>
        <w:t xml:space="preserve">NEP 2020's push for school complexes/clusters (shared teachers across schools), arts- and sports-integrated pedagogy, and holistic, multi-dimensional assessment all require exactly the kind of structured teacher-profile, cross-institution mobility, and skill-tagging infrastructure Path-shaala is built to provide.</w:t>
      </w:r>
    </w:p>
    <w:p>
      <w:pPr>
        <w:spacing w:after="240"/>
      </w:pPr>
      <w:r>
        <w:rPr>
          <w:i/>
          <w:iCs/>
          <w:color w:val="595959"/>
          <w:sz w:val="19"/>
          <w:szCs w:val="19"/>
        </w:rPr>
        <w:t xml:space="preserve">This report reorganises the market research already gathered (UDISE+ 2024-25, PLFS 2018/19, UNESCO 2021 'No Teacher, No Class', Parliamentary Standing Committee 2023, and competitor scans) into a structured market sizing, supply/demand, and competitive narrative to support the Phase-1 GTM plan.</w:t>
      </w:r>
    </w:p>
    <w:p>
      <w:pPr>
        <w:pStyle w:val="Heading1"/>
        <w:spacing w:after="200" w:before="400"/>
      </w:pPr>
      <w:r>
        <w:t xml:space="preserve">2. Market Overview: The Scale of India's School System</w:t>
      </w:r>
    </w:p>
    <w:p>
      <w:pPr>
        <w:spacing w:after="160"/>
      </w:pPr>
      <w:r>
        <w:t xml:space="preserve">The UDISE+ (Unified District Information System for Education Plus) dashboard, powered by NEP 2020 data collection, is the authoritative national base layer for this market.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600"/>
      </w:tblGrid>
      <w:tr>
        <w:trPr>
          <w:tblHeader/>
        </w:trPr>
        <w:tc>
          <w:tcPr>
            <w:tcW w:type="dxa" w:w="3200"/>
            <w:shd w:fill="13294B" w:val="clear"/>
            <w:tcMar>
              <w:top w:type="dxa" w:w="60"/>
              <w:left w:type="dxa" w:w="100"/>
              <w:bottom w:type="dxa" w:w="60"/>
              <w:right w:type="dxa" w:w="100"/>
            </w:tcMar>
          </w:tcPr>
          <w:p>
            <w:pPr>
              <w:jc w:val="center"/>
            </w:pPr>
            <w:r>
              <w:rPr>
                <w:b/>
                <w:bCs/>
                <w:color w:val="FFFFFF"/>
                <w:sz w:val="19"/>
                <w:szCs w:val="19"/>
              </w:rPr>
              <w:t xml:space="preserve">Metric</w:t>
            </w:r>
          </w:p>
        </w:tc>
        <w:tc>
          <w:tcPr>
            <w:tcW w:type="dxa" w:w="3200"/>
            <w:shd w:fill="13294B" w:val="clear"/>
            <w:tcMar>
              <w:top w:type="dxa" w:w="60"/>
              <w:left w:type="dxa" w:w="100"/>
              <w:bottom w:type="dxa" w:w="60"/>
              <w:right w:type="dxa" w:w="100"/>
            </w:tcMar>
          </w:tcPr>
          <w:p>
            <w:pPr>
              <w:jc w:val="center"/>
            </w:pPr>
            <w:r>
              <w:rPr>
                <w:b/>
                <w:bCs/>
                <w:color w:val="FFFFFF"/>
                <w:sz w:val="19"/>
                <w:szCs w:val="19"/>
              </w:rPr>
              <w:t xml:space="preserve">All-India (2024-25)</w:t>
            </w:r>
          </w:p>
        </w:tc>
        <w:tc>
          <w:tcPr>
            <w:tcW w:type="dxa" w:w="3600"/>
            <w:shd w:fill="13294B" w:val="clear"/>
            <w:tcMar>
              <w:top w:type="dxa" w:w="60"/>
              <w:left w:type="dxa" w:w="100"/>
              <w:bottom w:type="dxa" w:w="60"/>
              <w:right w:type="dxa" w:w="100"/>
            </w:tcMar>
          </w:tcPr>
          <w:p>
            <w:pPr>
              <w:jc w:val="center"/>
            </w:pPr>
            <w:r>
              <w:rPr>
                <w:b/>
                <w:bCs/>
                <w:color w:val="FFFFFF"/>
                <w:sz w:val="19"/>
                <w:szCs w:val="19"/>
              </w:rPr>
              <w:t xml:space="preserve">Split</w:t>
            </w:r>
          </w:p>
        </w:tc>
      </w:tr>
      <w:tr>
        <w:tc>
          <w:tcPr>
            <w:tcW w:type="dxa" w:w="3200"/>
            <w:tcMar>
              <w:top w:type="dxa" w:w="60"/>
              <w:left w:type="dxa" w:w="100"/>
              <w:bottom w:type="dxa" w:w="60"/>
              <w:right w:type="dxa" w:w="100"/>
            </w:tcMar>
          </w:tcPr>
          <w:p>
            <w:pPr>
              <w:jc w:val="left"/>
            </w:pPr>
            <w:r>
              <w:rPr>
                <w:b w:val="false"/>
                <w:bCs w:val="false"/>
                <w:sz w:val="19"/>
                <w:szCs w:val="19"/>
              </w:rPr>
              <w:t xml:space="preserve">Schools</w:t>
            </w:r>
          </w:p>
        </w:tc>
        <w:tc>
          <w:tcPr>
            <w:tcW w:type="dxa" w:w="3200"/>
            <w:tcMar>
              <w:top w:type="dxa" w:w="60"/>
              <w:left w:type="dxa" w:w="100"/>
              <w:bottom w:type="dxa" w:w="60"/>
              <w:right w:type="dxa" w:w="100"/>
            </w:tcMar>
          </w:tcPr>
          <w:p>
            <w:pPr>
              <w:jc w:val="center"/>
            </w:pPr>
            <w:r>
              <w:rPr>
                <w:b w:val="false"/>
                <w:bCs w:val="false"/>
                <w:sz w:val="19"/>
                <w:szCs w:val="19"/>
              </w:rPr>
              <w:t xml:space="preserve">14.71 lakh</w:t>
            </w:r>
          </w:p>
        </w:tc>
        <w:tc>
          <w:tcPr>
            <w:tcW w:type="dxa" w:w="3600"/>
            <w:tcMar>
              <w:top w:type="dxa" w:w="60"/>
              <w:left w:type="dxa" w:w="100"/>
              <w:bottom w:type="dxa" w:w="60"/>
              <w:right w:type="dxa" w:w="100"/>
            </w:tcMar>
          </w:tcPr>
          <w:p>
            <w:pPr>
              <w:jc w:val="center"/>
            </w:pPr>
            <w:r>
              <w:rPr>
                <w:b w:val="false"/>
                <w:bCs w:val="false"/>
                <w:sz w:val="19"/>
                <w:szCs w:val="19"/>
              </w:rPr>
              <w:t xml:space="preserve">Rural: 12.10 lakh (82%)  |  Urban: 2.61 lakh (18%)</w:t>
            </w:r>
          </w:p>
        </w:tc>
      </w:tr>
      <w:tr>
        <w:tc>
          <w:tcPr>
            <w:tcW w:type="dxa" w:w="3200"/>
            <w:shd w:fill="F2F2F2" w:val="clear"/>
            <w:tcMar>
              <w:top w:type="dxa" w:w="60"/>
              <w:left w:type="dxa" w:w="100"/>
              <w:bottom w:type="dxa" w:w="60"/>
              <w:right w:type="dxa" w:w="100"/>
            </w:tcMar>
          </w:tcPr>
          <w:p>
            <w:pPr>
              <w:jc w:val="left"/>
            </w:pPr>
            <w:r>
              <w:rPr>
                <w:b w:val="false"/>
                <w:bCs w:val="false"/>
                <w:sz w:val="19"/>
                <w:szCs w:val="19"/>
              </w:rPr>
              <w:t xml:space="preserve">Teachers</w:t>
            </w:r>
          </w:p>
        </w:tc>
        <w:tc>
          <w:tcPr>
            <w:tcW w:type="dxa" w:w="3200"/>
            <w:shd w:fill="F2F2F2" w:val="clear"/>
            <w:tcMar>
              <w:top w:type="dxa" w:w="60"/>
              <w:left w:type="dxa" w:w="100"/>
              <w:bottom w:type="dxa" w:w="60"/>
              <w:right w:type="dxa" w:w="100"/>
            </w:tcMar>
          </w:tcPr>
          <w:p>
            <w:pPr>
              <w:jc w:val="center"/>
            </w:pPr>
            <w:r>
              <w:rPr>
                <w:b w:val="false"/>
                <w:bCs w:val="false"/>
                <w:sz w:val="19"/>
                <w:szCs w:val="19"/>
              </w:rPr>
              <w:t xml:space="preserve">1.01 crore (10.12M)</w:t>
            </w:r>
          </w:p>
        </w:tc>
        <w:tc>
          <w:tcPr>
            <w:tcW w:type="dxa" w:w="3600"/>
            <w:shd w:fill="F2F2F2" w:val="clear"/>
            <w:tcMar>
              <w:top w:type="dxa" w:w="60"/>
              <w:left w:type="dxa" w:w="100"/>
              <w:bottom w:type="dxa" w:w="60"/>
              <w:right w:type="dxa" w:w="100"/>
            </w:tcMar>
          </w:tcPr>
          <w:p>
            <w:pPr>
              <w:jc w:val="center"/>
            </w:pPr>
            <w:r>
              <w:rPr>
                <w:b w:val="false"/>
                <w:bCs w:val="false"/>
                <w:sz w:val="19"/>
                <w:szCs w:val="19"/>
              </w:rPr>
              <w:t xml:space="preserve">Male: 46.41 lakh  |  Female: 54.82 lakh</w:t>
            </w:r>
          </w:p>
        </w:tc>
      </w:tr>
      <w:tr>
        <w:tc>
          <w:tcPr>
            <w:tcW w:type="dxa" w:w="3200"/>
            <w:tcMar>
              <w:top w:type="dxa" w:w="60"/>
              <w:left w:type="dxa" w:w="100"/>
              <w:bottom w:type="dxa" w:w="60"/>
              <w:right w:type="dxa" w:w="100"/>
            </w:tcMar>
          </w:tcPr>
          <w:p>
            <w:pPr>
              <w:jc w:val="left"/>
            </w:pPr>
            <w:r>
              <w:rPr>
                <w:b w:val="false"/>
                <w:bCs w:val="false"/>
                <w:sz w:val="19"/>
                <w:szCs w:val="19"/>
              </w:rPr>
              <w:t xml:space="preserve">Students</w:t>
            </w:r>
          </w:p>
        </w:tc>
        <w:tc>
          <w:tcPr>
            <w:tcW w:type="dxa" w:w="3200"/>
            <w:tcMar>
              <w:top w:type="dxa" w:w="60"/>
              <w:left w:type="dxa" w:w="100"/>
              <w:bottom w:type="dxa" w:w="60"/>
              <w:right w:type="dxa" w:w="100"/>
            </w:tcMar>
          </w:tcPr>
          <w:p>
            <w:pPr>
              <w:jc w:val="center"/>
            </w:pPr>
            <w:r>
              <w:rPr>
                <w:b w:val="false"/>
                <w:bCs w:val="false"/>
                <w:sz w:val="19"/>
                <w:szCs w:val="19"/>
              </w:rPr>
              <w:t xml:space="preserve">24.69 crore</w:t>
            </w:r>
          </w:p>
        </w:tc>
        <w:tc>
          <w:tcPr>
            <w:tcW w:type="dxa" w:w="3600"/>
            <w:tcMar>
              <w:top w:type="dxa" w:w="60"/>
              <w:left w:type="dxa" w:w="100"/>
              <w:bottom w:type="dxa" w:w="60"/>
              <w:right w:type="dxa" w:w="100"/>
            </w:tcMar>
          </w:tcPr>
          <w:p>
            <w:pPr>
              <w:jc w:val="center"/>
            </w:pPr>
            <w:r>
              <w:rPr>
                <w:b w:val="false"/>
                <w:bCs w:val="false"/>
                <w:sz w:val="19"/>
                <w:szCs w:val="19"/>
              </w:rPr>
              <w:t xml:space="preserve">Boys: 12.76 crore  |  Girls: 11.93 crore</w:t>
            </w:r>
          </w:p>
        </w:tc>
      </w:tr>
    </w:tbl>
    <w:p>
      <w:pPr>
        <w:spacing w:after="240"/>
      </w:pPr>
      <w:r>
        <w:rPr>
          <w:i/>
          <w:iCs/>
          <w:color w:val="595959"/>
          <w:sz w:val="19"/>
          <w:szCs w:val="19"/>
        </w:rPr>
        <w:t xml:space="preserve">Source: UDISE+ Dashboard, Ministry of Education, 2024-25.</w:t>
      </w:r>
    </w:p>
    <w:p>
      <w:pPr>
        <w:pStyle w:val="Heading2"/>
        <w:spacing w:after="150" w:before="300"/>
      </w:pPr>
      <w:r>
        <w:t xml:space="preserve">2.1 Schools by Management Type</w:t>
      </w:r>
    </w:p>
    <w:p>
      <w:pPr>
        <w:spacing w:after="160"/>
      </w:pPr>
      <w:r>
        <w:t xml:space="preserve">Two independent cuts of management-type data appear in the research: the UDISE+ national dashboard view and a separate NEP-linked chart. Both confirm the same structural point — government schools dominate by count but private schools carry a disproportionate share of enrolment and teachers relative to their numbers.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3200"/>
      </w:tblGrid>
      <w:tr>
        <w:trPr>
          <w:tblHeader/>
        </w:trPr>
        <w:tc>
          <w:tcPr>
            <w:tcW w:type="dxa" w:w="3600"/>
            <w:shd w:fill="13294B" w:val="clear"/>
            <w:tcMar>
              <w:top w:type="dxa" w:w="60"/>
              <w:left w:type="dxa" w:w="100"/>
              <w:bottom w:type="dxa" w:w="60"/>
              <w:right w:type="dxa" w:w="100"/>
            </w:tcMar>
          </w:tcPr>
          <w:p>
            <w:pPr>
              <w:jc w:val="center"/>
            </w:pPr>
            <w:r>
              <w:rPr>
                <w:b/>
                <w:bCs/>
                <w:color w:val="FFFFFF"/>
                <w:sz w:val="19"/>
                <w:szCs w:val="19"/>
              </w:rPr>
              <w:t xml:space="preserve">Management Type</w:t>
            </w:r>
          </w:p>
        </w:tc>
        <w:tc>
          <w:tcPr>
            <w:tcW w:type="dxa" w:w="3200"/>
            <w:shd w:fill="13294B" w:val="clear"/>
            <w:tcMar>
              <w:top w:type="dxa" w:w="60"/>
              <w:left w:type="dxa" w:w="100"/>
              <w:bottom w:type="dxa" w:w="60"/>
              <w:right w:type="dxa" w:w="100"/>
            </w:tcMar>
          </w:tcPr>
          <w:p>
            <w:pPr>
              <w:jc w:val="center"/>
            </w:pPr>
            <w:r>
              <w:rPr>
                <w:b/>
                <w:bCs/>
                <w:color w:val="FFFFFF"/>
                <w:sz w:val="19"/>
                <w:szCs w:val="19"/>
              </w:rPr>
              <w:t xml:space="preserve">Share of Schools (Dashboard)</w:t>
            </w:r>
          </w:p>
        </w:tc>
        <w:tc>
          <w:tcPr>
            <w:tcW w:type="dxa" w:w="3200"/>
            <w:shd w:fill="13294B" w:val="clear"/>
            <w:tcMar>
              <w:top w:type="dxa" w:w="60"/>
              <w:left w:type="dxa" w:w="100"/>
              <w:bottom w:type="dxa" w:w="60"/>
              <w:right w:type="dxa" w:w="100"/>
            </w:tcMar>
          </w:tcPr>
          <w:p>
            <w:pPr>
              <w:jc w:val="center"/>
            </w:pPr>
            <w:r>
              <w:rPr>
                <w:b/>
                <w:bCs/>
                <w:color w:val="FFFFFF"/>
                <w:sz w:val="19"/>
                <w:szCs w:val="19"/>
              </w:rPr>
              <w:t xml:space="preserve">Share of Teachers (Chart 2.3.4)</w:t>
            </w:r>
          </w:p>
        </w:tc>
      </w:tr>
      <w:tr>
        <w:tc>
          <w:tcPr>
            <w:tcW w:type="dxa" w:w="3600"/>
            <w:tcMar>
              <w:top w:type="dxa" w:w="60"/>
              <w:left w:type="dxa" w:w="100"/>
              <w:bottom w:type="dxa" w:w="60"/>
              <w:right w:type="dxa" w:w="100"/>
            </w:tcMar>
          </w:tcPr>
          <w:p>
            <w:pPr>
              <w:jc w:val="left"/>
            </w:pPr>
            <w:r>
              <w:rPr>
                <w:b w:val="false"/>
                <w:bCs w:val="false"/>
                <w:sz w:val="19"/>
                <w:szCs w:val="19"/>
              </w:rPr>
              <w:t xml:space="preserve">Government</w:t>
            </w:r>
          </w:p>
        </w:tc>
        <w:tc>
          <w:tcPr>
            <w:tcW w:type="dxa" w:w="3200"/>
            <w:tcMar>
              <w:top w:type="dxa" w:w="60"/>
              <w:left w:type="dxa" w:w="100"/>
              <w:bottom w:type="dxa" w:w="60"/>
              <w:right w:type="dxa" w:w="100"/>
            </w:tcMar>
          </w:tcPr>
          <w:p>
            <w:pPr>
              <w:jc w:val="center"/>
            </w:pPr>
            <w:r>
              <w:rPr>
                <w:b w:val="false"/>
                <w:bCs w:val="false"/>
                <w:sz w:val="19"/>
                <w:szCs w:val="19"/>
              </w:rPr>
              <w:t xml:space="preserve">68.86%</w:t>
            </w:r>
          </w:p>
        </w:tc>
        <w:tc>
          <w:tcPr>
            <w:tcW w:type="dxa" w:w="3200"/>
            <w:tcMar>
              <w:top w:type="dxa" w:w="60"/>
              <w:left w:type="dxa" w:w="100"/>
              <w:bottom w:type="dxa" w:w="60"/>
              <w:right w:type="dxa" w:w="100"/>
            </w:tcMar>
          </w:tcPr>
          <w:p>
            <w:pPr>
              <w:jc w:val="center"/>
            </w:pPr>
            <w:r>
              <w:rPr>
                <w:b w:val="false"/>
                <w:bCs w:val="false"/>
                <w:sz w:val="19"/>
                <w:szCs w:val="19"/>
              </w:rPr>
              <w:t xml:space="preserve">50.9%</w:t>
            </w:r>
          </w:p>
        </w:tc>
      </w:tr>
      <w:tr>
        <w:tc>
          <w:tcPr>
            <w:tcW w:type="dxa" w:w="3600"/>
            <w:shd w:fill="F2F2F2" w:val="clear"/>
            <w:tcMar>
              <w:top w:type="dxa" w:w="60"/>
              <w:left w:type="dxa" w:w="100"/>
              <w:bottom w:type="dxa" w:w="60"/>
              <w:right w:type="dxa" w:w="100"/>
            </w:tcMar>
          </w:tcPr>
          <w:p>
            <w:pPr>
              <w:jc w:val="left"/>
            </w:pPr>
            <w:r>
              <w:rPr>
                <w:b w:val="false"/>
                <w:bCs w:val="false"/>
                <w:sz w:val="19"/>
                <w:szCs w:val="19"/>
              </w:rPr>
              <w:t xml:space="preserve">Private</w:t>
            </w:r>
          </w:p>
        </w:tc>
        <w:tc>
          <w:tcPr>
            <w:tcW w:type="dxa" w:w="3200"/>
            <w:shd w:fill="F2F2F2" w:val="clear"/>
            <w:tcMar>
              <w:top w:type="dxa" w:w="60"/>
              <w:left w:type="dxa" w:w="100"/>
              <w:bottom w:type="dxa" w:w="60"/>
              <w:right w:type="dxa" w:w="100"/>
            </w:tcMar>
          </w:tcPr>
          <w:p>
            <w:pPr>
              <w:jc w:val="center"/>
            </w:pPr>
            <w:r>
              <w:rPr>
                <w:b w:val="false"/>
                <w:bCs w:val="false"/>
                <w:sz w:val="19"/>
                <w:szCs w:val="19"/>
              </w:rPr>
              <w:t xml:space="preserve">23.08%</w:t>
            </w:r>
          </w:p>
        </w:tc>
        <w:tc>
          <w:tcPr>
            <w:tcW w:type="dxa" w:w="3200"/>
            <w:shd w:fill="F2F2F2" w:val="clear"/>
            <w:tcMar>
              <w:top w:type="dxa" w:w="60"/>
              <w:left w:type="dxa" w:w="100"/>
              <w:bottom w:type="dxa" w:w="60"/>
              <w:right w:type="dxa" w:w="100"/>
            </w:tcMar>
          </w:tcPr>
          <w:p>
            <w:pPr>
              <w:jc w:val="center"/>
            </w:pPr>
            <w:r>
              <w:rPr>
                <w:b w:val="false"/>
                <w:bCs w:val="false"/>
                <w:sz w:val="19"/>
                <w:szCs w:val="19"/>
              </w:rPr>
              <w:t xml:space="preserve">39.1%</w:t>
            </w:r>
          </w:p>
        </w:tc>
      </w:tr>
      <w:tr>
        <w:tc>
          <w:tcPr>
            <w:tcW w:type="dxa" w:w="3600"/>
            <w:tcMar>
              <w:top w:type="dxa" w:w="60"/>
              <w:left w:type="dxa" w:w="100"/>
              <w:bottom w:type="dxa" w:w="60"/>
              <w:right w:type="dxa" w:w="100"/>
            </w:tcMar>
          </w:tcPr>
          <w:p>
            <w:pPr>
              <w:jc w:val="left"/>
            </w:pPr>
            <w:r>
              <w:rPr>
                <w:b w:val="false"/>
                <w:bCs w:val="false"/>
                <w:sz w:val="19"/>
                <w:szCs w:val="19"/>
              </w:rPr>
              <w:t xml:space="preserve">Aided</w:t>
            </w:r>
          </w:p>
        </w:tc>
        <w:tc>
          <w:tcPr>
            <w:tcW w:type="dxa" w:w="3200"/>
            <w:tcMar>
              <w:top w:type="dxa" w:w="60"/>
              <w:left w:type="dxa" w:w="100"/>
              <w:bottom w:type="dxa" w:w="60"/>
              <w:right w:type="dxa" w:w="100"/>
            </w:tcMar>
          </w:tcPr>
          <w:p>
            <w:pPr>
              <w:jc w:val="center"/>
            </w:pPr>
            <w:r>
              <w:rPr>
                <w:b w:val="false"/>
                <w:bCs w:val="false"/>
                <w:sz w:val="19"/>
                <w:szCs w:val="19"/>
              </w:rPr>
              <w:t xml:space="preserve">5.39%</w:t>
            </w:r>
          </w:p>
        </w:tc>
        <w:tc>
          <w:tcPr>
            <w:tcW w:type="dxa" w:w="3200"/>
            <w:tcMar>
              <w:top w:type="dxa" w:w="60"/>
              <w:left w:type="dxa" w:w="100"/>
              <w:bottom w:type="dxa" w:w="60"/>
              <w:right w:type="dxa" w:w="100"/>
            </w:tcMar>
          </w:tcPr>
          <w:p>
            <w:pPr>
              <w:jc w:val="center"/>
            </w:pPr>
            <w:r>
              <w:rPr>
                <w:b w:val="false"/>
                <w:bCs w:val="false"/>
                <w:sz w:val="19"/>
                <w:szCs w:val="19"/>
              </w:rPr>
              <w:t xml:space="preserve">7.5%</w:t>
            </w:r>
          </w:p>
        </w:tc>
      </w:tr>
      <w:tr>
        <w:tc>
          <w:tcPr>
            <w:tcW w:type="dxa" w:w="3600"/>
            <w:shd w:fill="F2F2F2" w:val="clear"/>
            <w:tcMar>
              <w:top w:type="dxa" w:w="60"/>
              <w:left w:type="dxa" w:w="100"/>
              <w:bottom w:type="dxa" w:w="60"/>
              <w:right w:type="dxa" w:w="100"/>
            </w:tcMar>
          </w:tcPr>
          <w:p>
            <w:pPr>
              <w:jc w:val="left"/>
            </w:pPr>
            <w:r>
              <w:rPr>
                <w:b w:val="false"/>
                <w:bCs w:val="false"/>
                <w:sz w:val="19"/>
                <w:szCs w:val="19"/>
              </w:rPr>
              <w:t xml:space="preserve">Others</w:t>
            </w:r>
          </w:p>
        </w:tc>
        <w:tc>
          <w:tcPr>
            <w:tcW w:type="dxa" w:w="3200"/>
            <w:shd w:fill="F2F2F2" w:val="clear"/>
            <w:tcMar>
              <w:top w:type="dxa" w:w="60"/>
              <w:left w:type="dxa" w:w="100"/>
              <w:bottom w:type="dxa" w:w="60"/>
              <w:right w:type="dxa" w:w="100"/>
            </w:tcMar>
          </w:tcPr>
          <w:p>
            <w:pPr>
              <w:jc w:val="center"/>
            </w:pPr>
            <w:r>
              <w:rPr>
                <w:b w:val="false"/>
                <w:bCs w:val="false"/>
                <w:sz w:val="19"/>
                <w:szCs w:val="19"/>
              </w:rPr>
              <w:t xml:space="preserve">2.67%</w:t>
            </w:r>
          </w:p>
        </w:tc>
        <w:tc>
          <w:tcPr>
            <w:tcW w:type="dxa" w:w="3200"/>
            <w:shd w:fill="F2F2F2" w:val="clear"/>
            <w:tcMar>
              <w:top w:type="dxa" w:w="60"/>
              <w:left w:type="dxa" w:w="100"/>
              <w:bottom w:type="dxa" w:w="60"/>
              <w:right w:type="dxa" w:w="100"/>
            </w:tcMar>
          </w:tcPr>
          <w:p>
            <w:pPr>
              <w:jc w:val="center"/>
            </w:pPr>
            <w:r>
              <w:rPr>
                <w:b w:val="false"/>
                <w:bCs w:val="false"/>
                <w:sz w:val="19"/>
                <w:szCs w:val="19"/>
              </w:rPr>
              <w:t xml:space="preserve">2.5%</w:t>
            </w:r>
          </w:p>
        </w:tc>
      </w:tr>
    </w:tbl>
    <w:p>
      <w:pPr>
        <w:spacing w:after="240"/>
      </w:pPr>
      <w:r>
        <w:rPr>
          <w:i/>
          <w:iCs/>
          <w:color w:val="595959"/>
          <w:sz w:val="19"/>
          <w:szCs w:val="19"/>
        </w:rPr>
        <w:t xml:space="preserve">Sources: UDISE+ dashboard (school share) and UDISE+-based Chart 2.3.4 (teacher share, overall). The two figures are drawn from different cuts of UDISE+ data and are presented side by side rather than reconciled.</w:t>
      </w:r>
    </w:p>
    <w:p>
      <w:pPr>
        <w:spacing w:after="160"/>
      </w:pPr>
      <w:r>
        <w:t xml:space="preserve">The takeaway for Path-shaala: government schools (68.9% of institutions) recruit through state-run exam and appointment cycles largely outside Path-shaala's addressable motion, whereas private and aided schools — together closer to 30% of institutions but a much larger share of discretionary, decentralised hiring decisions — are the natural first wedge.</w:t>
      </w:r>
    </w:p>
    <w:p>
      <w:pPr>
        <w:pStyle w:val="Heading1"/>
        <w:spacing w:after="200" w:before="400"/>
      </w:pPr>
      <w:r>
        <w:t xml:space="preserve">3. The Core Problem: Hiring &amp; Retention Failure</w:t>
      </w:r>
    </w:p>
    <w:p>
      <w:pPr>
        <w:spacing w:after="160"/>
      </w:pPr>
      <w:r>
        <w:t xml:space="preserve">Schools and educational hubs across India face persistent difficulty hiring and retaining qualified teachers, driven by four compounding factors identified in the research:</w:t>
      </w:r>
    </w:p>
    <w:p>
      <w:pPr>
        <w:pStyle w:val="ListParagraph"/>
        <w:numPr>
          <w:ilvl w:val="0"/>
          <w:numId w:val="1"/>
        </w:numPr>
        <w:spacing w:after="80"/>
      </w:pPr>
      <w:r>
        <w:rPr>
          <w:b/>
          <w:bCs/>
        </w:rPr>
        <w:t xml:space="preserve">Inefficient recruitment processes: </w:t>
      </w:r>
      <w:r>
        <w:t xml:space="preserve">delays in conducting exams, publishing results, and completing appointments prolong staffing gaps. States like Bihar and Uttar Pradesh report over 100,000 unfilled positions each.</w:t>
      </w:r>
    </w:p>
    <w:p>
      <w:pPr>
        <w:pStyle w:val="ListParagraph"/>
        <w:numPr>
          <w:ilvl w:val="0"/>
          <w:numId w:val="1"/>
        </w:numPr>
        <w:spacing w:after="80"/>
      </w:pPr>
      <w:r>
        <w:rPr>
          <w:b/>
          <w:bCs/>
        </w:rPr>
        <w:t xml:space="preserve">Specialisation mismatch: </w:t>
      </w:r>
      <w:r>
        <w:t xml:space="preserve">available candidate specialisations frequently don't match subject-specific school requirements, especially for arts, music, physical education, vocational, and special education roles.</w:t>
      </w:r>
    </w:p>
    <w:p>
      <w:pPr>
        <w:pStyle w:val="ListParagraph"/>
        <w:numPr>
          <w:ilvl w:val="0"/>
          <w:numId w:val="1"/>
        </w:numPr>
        <w:spacing w:after="80"/>
      </w:pPr>
      <w:r>
        <w:rPr>
          <w:b/>
          <w:bCs/>
        </w:rPr>
        <w:t xml:space="preserve">High reliance on contract employment: </w:t>
      </w:r>
      <w:r>
        <w:t xml:space="preserve">reduces job security and increases turnover, weakening hiring outcomes further (detailed in Section 5.4).</w:t>
      </w:r>
    </w:p>
    <w:p>
      <w:pPr>
        <w:pStyle w:val="ListParagraph"/>
        <w:numPr>
          <w:ilvl w:val="0"/>
          <w:numId w:val="1"/>
        </w:numPr>
        <w:spacing w:after="80"/>
      </w:pPr>
      <w:r>
        <w:rPr>
          <w:b/>
          <w:bCs/>
        </w:rPr>
        <w:t xml:space="preserve">Rural/remote working conditions: </w:t>
      </w:r>
      <w:r>
        <w:t xml:space="preserve">difficult postings in rural and remote areas compound vacancy problems; international school-leader surveys also cite insufficient qualified applicants and budget constraints as recruitment hurdles.</w:t>
      </w:r>
    </w:p>
    <w:p>
      <w:pPr>
        <w:pStyle w:val="Heading2"/>
        <w:spacing w:after="150" w:before="300"/>
      </w:pPr>
      <w:r>
        <w:t xml:space="preserve">3.1 State-Level Vacancy Snapshot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800"/>
        <w:gridCol w:w="5200"/>
      </w:tblGrid>
      <w:tr>
        <w:trPr>
          <w:tblHeader/>
        </w:trPr>
        <w:tc>
          <w:tcPr>
            <w:tcW w:type="dxa" w:w="4800"/>
            <w:shd w:fill="13294B" w:val="clear"/>
            <w:tcMar>
              <w:top w:type="dxa" w:w="60"/>
              <w:left w:type="dxa" w:w="100"/>
              <w:bottom w:type="dxa" w:w="60"/>
              <w:right w:type="dxa" w:w="100"/>
            </w:tcMar>
          </w:tcPr>
          <w:p>
            <w:pPr>
              <w:jc w:val="center"/>
            </w:pPr>
            <w:r>
              <w:rPr>
                <w:b/>
                <w:bCs/>
                <w:color w:val="FFFFFF"/>
                <w:sz w:val="19"/>
                <w:szCs w:val="19"/>
              </w:rPr>
              <w:t xml:space="preserve">State</w:t>
            </w:r>
          </w:p>
        </w:tc>
        <w:tc>
          <w:tcPr>
            <w:tcW w:type="dxa" w:w="5200"/>
            <w:shd w:fill="13294B" w:val="clear"/>
            <w:tcMar>
              <w:top w:type="dxa" w:w="60"/>
              <w:left w:type="dxa" w:w="100"/>
              <w:bottom w:type="dxa" w:w="60"/>
              <w:right w:type="dxa" w:w="100"/>
            </w:tcMar>
          </w:tcPr>
          <w:p>
            <w:pPr>
              <w:jc w:val="center"/>
            </w:pPr>
            <w:r>
              <w:rPr>
                <w:b/>
                <w:bCs/>
                <w:color w:val="FFFFFF"/>
                <w:sz w:val="19"/>
                <w:szCs w:val="19"/>
              </w:rPr>
              <w:t xml:space="preserve">Reported Teacher Vacancy Rate (2022-23)</w:t>
            </w:r>
          </w:p>
        </w:tc>
      </w:tr>
      <w:tr>
        <w:tc>
          <w:tcPr>
            <w:tcW w:type="dxa" w:w="4800"/>
            <w:tcMar>
              <w:top w:type="dxa" w:w="60"/>
              <w:left w:type="dxa" w:w="100"/>
              <w:bottom w:type="dxa" w:w="60"/>
              <w:right w:type="dxa" w:w="100"/>
            </w:tcMar>
          </w:tcPr>
          <w:p>
            <w:pPr>
              <w:jc w:val="left"/>
            </w:pPr>
            <w:r>
              <w:rPr>
                <w:b w:val="false"/>
                <w:bCs w:val="false"/>
                <w:sz w:val="19"/>
                <w:szCs w:val="19"/>
              </w:rPr>
              <w:t xml:space="preserve">Jharkhand</w:t>
            </w:r>
          </w:p>
        </w:tc>
        <w:tc>
          <w:tcPr>
            <w:tcW w:type="dxa" w:w="5200"/>
            <w:tcMar>
              <w:top w:type="dxa" w:w="60"/>
              <w:left w:type="dxa" w:w="100"/>
              <w:bottom w:type="dxa" w:w="60"/>
              <w:right w:type="dxa" w:w="100"/>
            </w:tcMar>
          </w:tcPr>
          <w:p>
            <w:pPr>
              <w:jc w:val="center"/>
            </w:pPr>
            <w:r>
              <w:rPr>
                <w:b w:val="false"/>
                <w:bCs w:val="false"/>
                <w:sz w:val="19"/>
                <w:szCs w:val="19"/>
              </w:rPr>
              <w:t xml:space="preserve">~40%</w:t>
            </w:r>
          </w:p>
        </w:tc>
      </w:tr>
      <w:tr>
        <w:tc>
          <w:tcPr>
            <w:tcW w:type="dxa" w:w="4800"/>
            <w:shd w:fill="F2F2F2" w:val="clear"/>
            <w:tcMar>
              <w:top w:type="dxa" w:w="60"/>
              <w:left w:type="dxa" w:w="100"/>
              <w:bottom w:type="dxa" w:w="60"/>
              <w:right w:type="dxa" w:w="100"/>
            </w:tcMar>
          </w:tcPr>
          <w:p>
            <w:pPr>
              <w:jc w:val="left"/>
            </w:pPr>
            <w:r>
              <w:rPr>
                <w:b w:val="false"/>
                <w:bCs w:val="false"/>
                <w:sz w:val="19"/>
                <w:szCs w:val="19"/>
              </w:rPr>
              <w:t xml:space="preserve">Bihar</w:t>
            </w:r>
          </w:p>
        </w:tc>
        <w:tc>
          <w:tcPr>
            <w:tcW w:type="dxa" w:w="5200"/>
            <w:shd w:fill="F2F2F2" w:val="clear"/>
            <w:tcMar>
              <w:top w:type="dxa" w:w="60"/>
              <w:left w:type="dxa" w:w="100"/>
              <w:bottom w:type="dxa" w:w="60"/>
              <w:right w:type="dxa" w:w="100"/>
            </w:tcMar>
          </w:tcPr>
          <w:p>
            <w:pPr>
              <w:jc w:val="center"/>
            </w:pPr>
            <w:r>
              <w:rPr>
                <w:b w:val="false"/>
                <w:bCs w:val="false"/>
                <w:sz w:val="19"/>
                <w:szCs w:val="19"/>
              </w:rPr>
              <w:t xml:space="preserve">~32%</w:t>
            </w:r>
          </w:p>
        </w:tc>
      </w:tr>
    </w:tbl>
    <w:p>
      <w:pPr>
        <w:spacing w:after="240"/>
      </w:pPr>
      <w:r>
        <w:rPr>
          <w:i/>
          <w:iCs/>
          <w:color w:val="595959"/>
          <w:sz w:val="19"/>
          <w:szCs w:val="19"/>
        </w:rPr>
        <w:t xml:space="preserve">Source: UDISE+-based analyses, 2022-23. Bihar and Uttar Pradesh separately report over 100,000 unfilled teaching positions each (Parliamentary Standing Committee framing).</w:t>
      </w:r>
    </w:p>
    <w:p>
      <w:pPr>
        <w:pStyle w:val="Heading2"/>
        <w:spacing w:after="150" w:before="300"/>
      </w:pPr>
      <w:r>
        <w:t xml:space="preserve">3.2 Approved vs. Vacant Posts, Nationally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400"/>
        <w:gridCol w:w="2400"/>
      </w:tblGrid>
      <w:tr>
        <w:trPr>
          <w:tblHeader/>
        </w:trPr>
        <w:tc>
          <w:tcPr>
            <w:tcW w:type="dxa" w:w="2600"/>
            <w:shd w:fill="13294B" w:val="clear"/>
            <w:tcMar>
              <w:top w:type="dxa" w:w="60"/>
              <w:left w:type="dxa" w:w="100"/>
              <w:bottom w:type="dxa" w:w="60"/>
              <w:right w:type="dxa" w:w="100"/>
            </w:tcMar>
          </w:tcPr>
          <w:p>
            <w:pPr>
              <w:jc w:val="center"/>
            </w:pPr>
            <w:r>
              <w:rPr>
                <w:b/>
                <w:bCs/>
                <w:color w:val="FFFFFF"/>
                <w:sz w:val="19"/>
                <w:szCs w:val="19"/>
              </w:rPr>
              <w:t xml:space="preserve">Category</w:t>
            </w:r>
          </w:p>
        </w:tc>
        <w:tc>
          <w:tcPr>
            <w:tcW w:type="dxa" w:w="2600"/>
            <w:shd w:fill="13294B" w:val="clear"/>
            <w:tcMar>
              <w:top w:type="dxa" w:w="60"/>
              <w:left w:type="dxa" w:w="100"/>
              <w:bottom w:type="dxa" w:w="60"/>
              <w:right w:type="dxa" w:w="100"/>
            </w:tcMar>
          </w:tcPr>
          <w:p>
            <w:pPr>
              <w:jc w:val="center"/>
            </w:pPr>
            <w:r>
              <w:rPr>
                <w:b/>
                <w:bCs/>
                <w:color w:val="FFFFFF"/>
                <w:sz w:val="19"/>
                <w:szCs w:val="19"/>
              </w:rPr>
              <w:t xml:space="preserve">Level</w:t>
            </w:r>
          </w:p>
        </w:tc>
        <w:tc>
          <w:tcPr>
            <w:tcW w:type="dxa" w:w="2400"/>
            <w:shd w:fill="13294B" w:val="clear"/>
            <w:tcMar>
              <w:top w:type="dxa" w:w="60"/>
              <w:left w:type="dxa" w:w="100"/>
              <w:bottom w:type="dxa" w:w="60"/>
              <w:right w:type="dxa" w:w="100"/>
            </w:tcMar>
          </w:tcPr>
          <w:p>
            <w:pPr>
              <w:jc w:val="center"/>
            </w:pPr>
            <w:r>
              <w:rPr>
                <w:b/>
                <w:bCs/>
                <w:color w:val="FFFFFF"/>
                <w:sz w:val="19"/>
                <w:szCs w:val="19"/>
              </w:rPr>
              <w:t xml:space="preserve">Approved (million)</w:t>
            </w:r>
          </w:p>
        </w:tc>
        <w:tc>
          <w:tcPr>
            <w:tcW w:type="dxa" w:w="2400"/>
            <w:shd w:fill="13294B" w:val="clear"/>
            <w:tcMar>
              <w:top w:type="dxa" w:w="60"/>
              <w:left w:type="dxa" w:w="100"/>
              <w:bottom w:type="dxa" w:w="60"/>
              <w:right w:type="dxa" w:w="100"/>
            </w:tcMar>
          </w:tcPr>
          <w:p>
            <w:pPr>
              <w:jc w:val="center"/>
            </w:pPr>
            <w:r>
              <w:rPr>
                <w:b/>
                <w:bCs/>
                <w:color w:val="FFFFFF"/>
                <w:sz w:val="19"/>
                <w:szCs w:val="19"/>
              </w:rPr>
              <w:t xml:space="preserve">Vacant (million)</w:t>
            </w:r>
          </w:p>
        </w:tc>
      </w:tr>
      <w:tr>
        <w:tc>
          <w:tcPr>
            <w:tcW w:type="dxa" w:w="2600"/>
            <w:tcMar>
              <w:top w:type="dxa" w:w="60"/>
              <w:left w:type="dxa" w:w="100"/>
              <w:bottom w:type="dxa" w:w="60"/>
              <w:right w:type="dxa" w:w="100"/>
            </w:tcMar>
          </w:tcPr>
          <w:p>
            <w:pPr>
              <w:jc w:val="left"/>
            </w:pPr>
            <w:r>
              <w:rPr>
                <w:b w:val="false"/>
                <w:bCs w:val="false"/>
                <w:sz w:val="19"/>
                <w:szCs w:val="19"/>
              </w:rPr>
              <w:t xml:space="preserve">Permanent teachers</w:t>
            </w:r>
          </w:p>
        </w:tc>
        <w:tc>
          <w:tcPr>
            <w:tcW w:type="dxa" w:w="2600"/>
            <w:tcMar>
              <w:top w:type="dxa" w:w="60"/>
              <w:left w:type="dxa" w:w="100"/>
              <w:bottom w:type="dxa" w:w="60"/>
              <w:right w:type="dxa" w:w="100"/>
            </w:tcMar>
          </w:tcPr>
          <w:p>
            <w:pPr>
              <w:jc w:val="center"/>
            </w:pPr>
            <w:r>
              <w:rPr>
                <w:b w:val="false"/>
                <w:bCs w:val="false"/>
                <w:sz w:val="19"/>
                <w:szCs w:val="19"/>
              </w:rPr>
              <w:t xml:space="preserve">Elementary</w:t>
            </w:r>
          </w:p>
        </w:tc>
        <w:tc>
          <w:tcPr>
            <w:tcW w:type="dxa" w:w="2400"/>
            <w:tcMar>
              <w:top w:type="dxa" w:w="60"/>
              <w:left w:type="dxa" w:w="100"/>
              <w:bottom w:type="dxa" w:w="60"/>
              <w:right w:type="dxa" w:w="100"/>
            </w:tcMar>
          </w:tcPr>
          <w:p>
            <w:pPr>
              <w:jc w:val="center"/>
            </w:pPr>
            <w:r>
              <w:rPr>
                <w:b w:val="false"/>
                <w:bCs w:val="false"/>
                <w:sz w:val="19"/>
                <w:szCs w:val="19"/>
              </w:rPr>
              <w:t xml:space="preserve">3.0</w:t>
            </w:r>
          </w:p>
        </w:tc>
        <w:tc>
          <w:tcPr>
            <w:tcW w:type="dxa" w:w="2400"/>
            <w:tcMar>
              <w:top w:type="dxa" w:w="60"/>
              <w:left w:type="dxa" w:w="100"/>
              <w:bottom w:type="dxa" w:w="60"/>
              <w:right w:type="dxa" w:w="100"/>
            </w:tcMar>
          </w:tcPr>
          <w:p>
            <w:pPr>
              <w:jc w:val="center"/>
            </w:pPr>
            <w:r>
              <w:rPr>
                <w:b w:val="false"/>
                <w:bCs w:val="false"/>
                <w:sz w:val="19"/>
                <w:szCs w:val="19"/>
              </w:rPr>
              <w:t xml:space="preserve">0.4</w:t>
            </w:r>
          </w:p>
        </w:tc>
      </w:tr>
      <w:tr>
        <w:tc>
          <w:tcPr>
            <w:tcW w:type="dxa" w:w="2600"/>
            <w:shd w:fill="F2F2F2" w:val="clear"/>
            <w:tcMar>
              <w:top w:type="dxa" w:w="60"/>
              <w:left w:type="dxa" w:w="100"/>
              <w:bottom w:type="dxa" w:w="60"/>
              <w:right w:type="dxa" w:w="100"/>
            </w:tcMar>
          </w:tcPr>
          <w:p>
            <w:pPr>
              <w:jc w:val="left"/>
            </w:pPr>
            <w:r>
              <w:rPr>
                <w:b w:val="false"/>
                <w:bCs w:val="false"/>
                <w:sz w:val="19"/>
                <w:szCs w:val="19"/>
              </w:rPr>
              <w:t xml:space="preserve">Permanent teachers</w:t>
            </w:r>
          </w:p>
        </w:tc>
        <w:tc>
          <w:tcPr>
            <w:tcW w:type="dxa" w:w="2600"/>
            <w:shd w:fill="F2F2F2" w:val="clear"/>
            <w:tcMar>
              <w:top w:type="dxa" w:w="60"/>
              <w:left w:type="dxa" w:w="100"/>
              <w:bottom w:type="dxa" w:w="60"/>
              <w:right w:type="dxa" w:w="100"/>
            </w:tcMar>
          </w:tcPr>
          <w:p>
            <w:pPr>
              <w:jc w:val="center"/>
            </w:pPr>
            <w:r>
              <w:rPr>
                <w:b w:val="false"/>
                <w:bCs w:val="false"/>
                <w:sz w:val="19"/>
                <w:szCs w:val="19"/>
              </w:rPr>
              <w:t xml:space="preserve">Secondary</w:t>
            </w:r>
          </w:p>
        </w:tc>
        <w:tc>
          <w:tcPr>
            <w:tcW w:type="dxa" w:w="2400"/>
            <w:shd w:fill="F2F2F2" w:val="clear"/>
            <w:tcMar>
              <w:top w:type="dxa" w:w="60"/>
              <w:left w:type="dxa" w:w="100"/>
              <w:bottom w:type="dxa" w:w="60"/>
              <w:right w:type="dxa" w:w="100"/>
            </w:tcMar>
          </w:tcPr>
          <w:p>
            <w:pPr>
              <w:jc w:val="center"/>
            </w:pPr>
            <w:r>
              <w:rPr>
                <w:b w:val="false"/>
                <w:bCs w:val="false"/>
                <w:sz w:val="19"/>
                <w:szCs w:val="19"/>
              </w:rPr>
              <w:t xml:space="preserve">0.8</w:t>
            </w:r>
          </w:p>
        </w:tc>
        <w:tc>
          <w:tcPr>
            <w:tcW w:type="dxa" w:w="2400"/>
            <w:shd w:fill="F2F2F2" w:val="clear"/>
            <w:tcMar>
              <w:top w:type="dxa" w:w="60"/>
              <w:left w:type="dxa" w:w="100"/>
              <w:bottom w:type="dxa" w:w="60"/>
              <w:right w:type="dxa" w:w="100"/>
            </w:tcMar>
          </w:tcPr>
          <w:p>
            <w:pPr>
              <w:jc w:val="center"/>
            </w:pPr>
            <w:r>
              <w:rPr>
                <w:b w:val="false"/>
                <w:bCs w:val="false"/>
                <w:sz w:val="19"/>
                <w:szCs w:val="19"/>
              </w:rPr>
              <w:t xml:space="preserve">0.1</w:t>
            </w:r>
          </w:p>
        </w:tc>
      </w:tr>
      <w:tr>
        <w:tc>
          <w:tcPr>
            <w:tcW w:type="dxa" w:w="2600"/>
            <w:tcMar>
              <w:top w:type="dxa" w:w="60"/>
              <w:left w:type="dxa" w:w="100"/>
              <w:bottom w:type="dxa" w:w="60"/>
              <w:right w:type="dxa" w:w="100"/>
            </w:tcMar>
          </w:tcPr>
          <w:p>
            <w:pPr>
              <w:jc w:val="left"/>
            </w:pPr>
            <w:r>
              <w:rPr>
                <w:b w:val="false"/>
                <w:bCs w:val="false"/>
                <w:sz w:val="19"/>
                <w:szCs w:val="19"/>
              </w:rPr>
              <w:t xml:space="preserve">Permanent teachers</w:t>
            </w:r>
          </w:p>
        </w:tc>
        <w:tc>
          <w:tcPr>
            <w:tcW w:type="dxa" w:w="2600"/>
            <w:tcMar>
              <w:top w:type="dxa" w:w="60"/>
              <w:left w:type="dxa" w:w="100"/>
              <w:bottom w:type="dxa" w:w="60"/>
              <w:right w:type="dxa" w:w="100"/>
            </w:tcMar>
          </w:tcPr>
          <w:p>
            <w:pPr>
              <w:jc w:val="center"/>
            </w:pPr>
            <w:r>
              <w:rPr>
                <w:b w:val="false"/>
                <w:bCs w:val="false"/>
                <w:sz w:val="19"/>
                <w:szCs w:val="19"/>
              </w:rPr>
              <w:t xml:space="preserve">Higher Education</w:t>
            </w:r>
          </w:p>
        </w:tc>
        <w:tc>
          <w:tcPr>
            <w:tcW w:type="dxa" w:w="2400"/>
            <w:tcMar>
              <w:top w:type="dxa" w:w="60"/>
              <w:left w:type="dxa" w:w="100"/>
              <w:bottom w:type="dxa" w:w="60"/>
              <w:right w:type="dxa" w:w="100"/>
            </w:tcMar>
          </w:tcPr>
          <w:p>
            <w:pPr>
              <w:jc w:val="center"/>
            </w:pPr>
            <w:r>
              <w:rPr>
                <w:b w:val="false"/>
                <w:bCs w:val="false"/>
                <w:sz w:val="19"/>
                <w:szCs w:val="19"/>
              </w:rPr>
              <w:t xml:space="preserve">0.5</w:t>
            </w:r>
          </w:p>
        </w:tc>
        <w:tc>
          <w:tcPr>
            <w:tcW w:type="dxa" w:w="2400"/>
            <w:tcMar>
              <w:top w:type="dxa" w:w="60"/>
              <w:left w:type="dxa" w:w="100"/>
              <w:bottom w:type="dxa" w:w="60"/>
              <w:right w:type="dxa" w:w="100"/>
            </w:tcMar>
          </w:tcPr>
          <w:p>
            <w:pPr>
              <w:jc w:val="center"/>
            </w:pPr>
            <w:r>
              <w:rPr>
                <w:b w:val="false"/>
                <w:bCs w:val="false"/>
                <w:sz w:val="19"/>
                <w:szCs w:val="19"/>
              </w:rPr>
              <w:t xml:space="preserve">0.1</w:t>
            </w:r>
          </w:p>
        </w:tc>
      </w:tr>
      <w:tr>
        <w:tc>
          <w:tcPr>
            <w:tcW w:type="dxa" w:w="2600"/>
            <w:shd w:fill="F2F2F2" w:val="clear"/>
            <w:tcMar>
              <w:top w:type="dxa" w:w="60"/>
              <w:left w:type="dxa" w:w="100"/>
              <w:bottom w:type="dxa" w:w="60"/>
              <w:right w:type="dxa" w:w="100"/>
            </w:tcMar>
          </w:tcPr>
          <w:p>
            <w:pPr>
              <w:jc w:val="left"/>
            </w:pPr>
            <w:r>
              <w:rPr>
                <w:b w:val="false"/>
                <w:bCs w:val="false"/>
                <w:sz w:val="19"/>
                <w:szCs w:val="19"/>
              </w:rPr>
              <w:t xml:space="preserve">Permanent teachers</w:t>
            </w:r>
          </w:p>
        </w:tc>
        <w:tc>
          <w:tcPr>
            <w:tcW w:type="dxa" w:w="2600"/>
            <w:shd w:fill="F2F2F2" w:val="clear"/>
            <w:tcMar>
              <w:top w:type="dxa" w:w="60"/>
              <w:left w:type="dxa" w:w="100"/>
              <w:bottom w:type="dxa" w:w="60"/>
              <w:right w:type="dxa" w:w="100"/>
            </w:tcMar>
          </w:tcPr>
          <w:p>
            <w:pPr>
              <w:jc w:val="center"/>
            </w:pPr>
            <w:r>
              <w:rPr>
                <w:b w:val="false"/>
                <w:bCs w:val="false"/>
                <w:sz w:val="19"/>
                <w:szCs w:val="19"/>
              </w:rPr>
              <w:t xml:space="preserve">Total</w:t>
            </w:r>
          </w:p>
        </w:tc>
        <w:tc>
          <w:tcPr>
            <w:tcW w:type="dxa" w:w="2400"/>
            <w:shd w:fill="F2F2F2" w:val="clear"/>
            <w:tcMar>
              <w:top w:type="dxa" w:w="60"/>
              <w:left w:type="dxa" w:w="100"/>
              <w:bottom w:type="dxa" w:w="60"/>
              <w:right w:type="dxa" w:w="100"/>
            </w:tcMar>
          </w:tcPr>
          <w:p>
            <w:pPr>
              <w:jc w:val="center"/>
            </w:pPr>
            <w:r>
              <w:rPr>
                <w:b w:val="false"/>
                <w:bCs w:val="false"/>
                <w:sz w:val="19"/>
                <w:szCs w:val="19"/>
              </w:rPr>
              <w:t xml:space="preserve">4.4</w:t>
            </w:r>
          </w:p>
        </w:tc>
        <w:tc>
          <w:tcPr>
            <w:tcW w:type="dxa" w:w="2400"/>
            <w:shd w:fill="F2F2F2" w:val="clear"/>
            <w:tcMar>
              <w:top w:type="dxa" w:w="60"/>
              <w:left w:type="dxa" w:w="100"/>
              <w:bottom w:type="dxa" w:w="60"/>
              <w:right w:type="dxa" w:w="100"/>
            </w:tcMar>
          </w:tcPr>
          <w:p>
            <w:pPr>
              <w:jc w:val="center"/>
            </w:pPr>
            <w:r>
              <w:rPr>
                <w:b w:val="false"/>
                <w:bCs w:val="false"/>
                <w:sz w:val="19"/>
                <w:szCs w:val="19"/>
              </w:rPr>
              <w:t xml:space="preserve">0.6</w:t>
            </w:r>
          </w:p>
        </w:tc>
      </w:tr>
      <w:tr>
        <w:tc>
          <w:tcPr>
            <w:tcW w:type="dxa" w:w="2600"/>
            <w:tcMar>
              <w:top w:type="dxa" w:w="60"/>
              <w:left w:type="dxa" w:w="100"/>
              <w:bottom w:type="dxa" w:w="60"/>
              <w:right w:type="dxa" w:w="100"/>
            </w:tcMar>
          </w:tcPr>
          <w:p>
            <w:pPr>
              <w:jc w:val="left"/>
            </w:pPr>
            <w:r>
              <w:rPr>
                <w:b w:val="false"/>
                <w:bCs w:val="false"/>
                <w:sz w:val="19"/>
                <w:szCs w:val="19"/>
              </w:rPr>
              <w:t xml:space="preserve">Contractual teachers</w:t>
            </w:r>
          </w:p>
        </w:tc>
        <w:tc>
          <w:tcPr>
            <w:tcW w:type="dxa" w:w="2600"/>
            <w:tcMar>
              <w:top w:type="dxa" w:w="60"/>
              <w:left w:type="dxa" w:w="100"/>
              <w:bottom w:type="dxa" w:w="60"/>
              <w:right w:type="dxa" w:w="100"/>
            </w:tcMar>
          </w:tcPr>
          <w:p>
            <w:pPr>
              <w:jc w:val="center"/>
            </w:pPr>
            <w:r>
              <w:rPr>
                <w:b w:val="false"/>
                <w:bCs w:val="false"/>
                <w:sz w:val="19"/>
                <w:szCs w:val="19"/>
              </w:rPr>
              <w:t xml:space="preserve">Elementary</w:t>
            </w:r>
          </w:p>
        </w:tc>
        <w:tc>
          <w:tcPr>
            <w:tcW w:type="dxa" w:w="2400"/>
            <w:tcMar>
              <w:top w:type="dxa" w:w="60"/>
              <w:left w:type="dxa" w:w="100"/>
              <w:bottom w:type="dxa" w:w="60"/>
              <w:right w:type="dxa" w:w="100"/>
            </w:tcMar>
          </w:tcPr>
          <w:p>
            <w:pPr>
              <w:jc w:val="center"/>
            </w:pPr>
            <w:r>
              <w:rPr>
                <w:b w:val="false"/>
                <w:bCs w:val="false"/>
                <w:sz w:val="19"/>
                <w:szCs w:val="19"/>
              </w:rPr>
              <w:t xml:space="preserve">1.76</w:t>
            </w:r>
          </w:p>
        </w:tc>
        <w:tc>
          <w:tcPr>
            <w:tcW w:type="dxa" w:w="2400"/>
            <w:tcMar>
              <w:top w:type="dxa" w:w="60"/>
              <w:left w:type="dxa" w:w="100"/>
              <w:bottom w:type="dxa" w:w="60"/>
              <w:right w:type="dxa" w:w="100"/>
            </w:tcMar>
          </w:tcPr>
          <w:p>
            <w:pPr>
              <w:jc w:val="center"/>
            </w:pPr>
            <w:r>
              <w:rPr>
                <w:b w:val="false"/>
                <w:bCs w:val="false"/>
                <w:sz w:val="19"/>
                <w:szCs w:val="19"/>
              </w:rPr>
              <w:t xml:space="preserve">0.37</w:t>
            </w:r>
          </w:p>
        </w:tc>
      </w:tr>
      <w:tr>
        <w:tc>
          <w:tcPr>
            <w:tcW w:type="dxa" w:w="2600"/>
            <w:shd w:fill="F2F2F2" w:val="clear"/>
            <w:tcMar>
              <w:top w:type="dxa" w:w="60"/>
              <w:left w:type="dxa" w:w="100"/>
              <w:bottom w:type="dxa" w:w="60"/>
              <w:right w:type="dxa" w:w="100"/>
            </w:tcMar>
          </w:tcPr>
          <w:p>
            <w:pPr>
              <w:jc w:val="left"/>
            </w:pPr>
            <w:r>
              <w:rPr>
                <w:b w:val="false"/>
                <w:bCs w:val="false"/>
                <w:sz w:val="19"/>
                <w:szCs w:val="19"/>
              </w:rPr>
              <w:t xml:space="preserve">Contractual teachers</w:t>
            </w:r>
          </w:p>
        </w:tc>
        <w:tc>
          <w:tcPr>
            <w:tcW w:type="dxa" w:w="2600"/>
            <w:shd w:fill="F2F2F2" w:val="clear"/>
            <w:tcMar>
              <w:top w:type="dxa" w:w="60"/>
              <w:left w:type="dxa" w:w="100"/>
              <w:bottom w:type="dxa" w:w="60"/>
              <w:right w:type="dxa" w:w="100"/>
            </w:tcMar>
          </w:tcPr>
          <w:p>
            <w:pPr>
              <w:jc w:val="center"/>
            </w:pPr>
            <w:r>
              <w:rPr>
                <w:b w:val="false"/>
                <w:bCs w:val="false"/>
                <w:sz w:val="19"/>
                <w:szCs w:val="19"/>
              </w:rPr>
              <w:t xml:space="preserve">Secondary</w:t>
            </w:r>
          </w:p>
        </w:tc>
        <w:tc>
          <w:tcPr>
            <w:tcW w:type="dxa" w:w="2400"/>
            <w:shd w:fill="F2F2F2" w:val="clear"/>
            <w:tcMar>
              <w:top w:type="dxa" w:w="60"/>
              <w:left w:type="dxa" w:w="100"/>
              <w:bottom w:type="dxa" w:w="60"/>
              <w:right w:type="dxa" w:w="100"/>
            </w:tcMar>
          </w:tcPr>
          <w:p>
            <w:pPr>
              <w:jc w:val="center"/>
            </w:pPr>
            <w:r>
              <w:rPr>
                <w:b w:val="false"/>
                <w:bCs w:val="false"/>
                <w:sz w:val="19"/>
                <w:szCs w:val="19"/>
              </w:rPr>
              <w:t xml:space="preserve">0.12</w:t>
            </w:r>
          </w:p>
        </w:tc>
        <w:tc>
          <w:tcPr>
            <w:tcW w:type="dxa" w:w="2400"/>
            <w:shd w:fill="F2F2F2" w:val="clear"/>
            <w:tcMar>
              <w:top w:type="dxa" w:w="60"/>
              <w:left w:type="dxa" w:w="100"/>
              <w:bottom w:type="dxa" w:w="60"/>
              <w:right w:type="dxa" w:w="100"/>
            </w:tcMar>
          </w:tcPr>
          <w:p>
            <w:pPr>
              <w:jc w:val="center"/>
            </w:pPr>
            <w:r>
              <w:rPr>
                <w:b w:val="false"/>
                <w:bCs w:val="false"/>
                <w:sz w:val="19"/>
                <w:szCs w:val="19"/>
              </w:rPr>
              <w:t xml:space="preserve">0.03</w:t>
            </w:r>
          </w:p>
        </w:tc>
      </w:tr>
      <w:tr>
        <w:tc>
          <w:tcPr>
            <w:tcW w:type="dxa" w:w="2600"/>
            <w:tcMar>
              <w:top w:type="dxa" w:w="60"/>
              <w:left w:type="dxa" w:w="100"/>
              <w:bottom w:type="dxa" w:w="60"/>
              <w:right w:type="dxa" w:w="100"/>
            </w:tcMar>
          </w:tcPr>
          <w:p>
            <w:pPr>
              <w:jc w:val="left"/>
            </w:pPr>
            <w:r>
              <w:rPr>
                <w:b w:val="false"/>
                <w:bCs w:val="false"/>
                <w:sz w:val="19"/>
                <w:szCs w:val="19"/>
              </w:rPr>
              <w:t xml:space="preserve">Contractual teachers</w:t>
            </w:r>
          </w:p>
        </w:tc>
        <w:tc>
          <w:tcPr>
            <w:tcW w:type="dxa" w:w="2600"/>
            <w:tcMar>
              <w:top w:type="dxa" w:w="60"/>
              <w:left w:type="dxa" w:w="100"/>
              <w:bottom w:type="dxa" w:w="60"/>
              <w:right w:type="dxa" w:w="100"/>
            </w:tcMar>
          </w:tcPr>
          <w:p>
            <w:pPr>
              <w:jc w:val="center"/>
            </w:pPr>
            <w:r>
              <w:rPr>
                <w:b w:val="false"/>
                <w:bCs w:val="false"/>
                <w:sz w:val="19"/>
                <w:szCs w:val="19"/>
              </w:rPr>
              <w:t xml:space="preserve">Total</w:t>
            </w:r>
          </w:p>
        </w:tc>
        <w:tc>
          <w:tcPr>
            <w:tcW w:type="dxa" w:w="2400"/>
            <w:tcMar>
              <w:top w:type="dxa" w:w="60"/>
              <w:left w:type="dxa" w:w="100"/>
              <w:bottom w:type="dxa" w:w="60"/>
              <w:right w:type="dxa" w:w="100"/>
            </w:tcMar>
          </w:tcPr>
          <w:p>
            <w:pPr>
              <w:jc w:val="center"/>
            </w:pPr>
            <w:r>
              <w:rPr>
                <w:b w:val="false"/>
                <w:bCs w:val="false"/>
                <w:sz w:val="19"/>
                <w:szCs w:val="19"/>
              </w:rPr>
              <w:t xml:space="preserve">1.88</w:t>
            </w:r>
          </w:p>
        </w:tc>
        <w:tc>
          <w:tcPr>
            <w:tcW w:type="dxa" w:w="2400"/>
            <w:tcMar>
              <w:top w:type="dxa" w:w="60"/>
              <w:left w:type="dxa" w:w="100"/>
              <w:bottom w:type="dxa" w:w="60"/>
              <w:right w:type="dxa" w:w="100"/>
            </w:tcMar>
          </w:tcPr>
          <w:p>
            <w:pPr>
              <w:jc w:val="center"/>
            </w:pPr>
            <w:r>
              <w:rPr>
                <w:b w:val="false"/>
                <w:bCs w:val="false"/>
                <w:sz w:val="19"/>
                <w:szCs w:val="19"/>
              </w:rPr>
              <w:t xml:space="preserve">0.4</w:t>
            </w:r>
          </w:p>
        </w:tc>
      </w:tr>
    </w:tbl>
    <w:p>
      <w:pPr>
        <w:spacing w:after="240"/>
      </w:pPr>
      <w:r>
        <w:rPr>
          <w:i/>
          <w:iCs/>
          <w:color w:val="595959"/>
          <w:sz w:val="19"/>
          <w:szCs w:val="19"/>
        </w:rPr>
        <w:t xml:space="preserve">Source: Report No. 349, Department-Related Parliamentary Standing Committee on Education, Women, Children, Youth and Sports, 2023.</w:t>
      </w:r>
    </w:p>
    <w:p>
      <w:pPr>
        <w:pStyle w:val="Heading1"/>
        <w:spacing w:after="200" w:before="400"/>
      </w:pPr>
      <w:r>
        <w:t xml:space="preserve">4. Demand-Side Trends: Student Enrolment (2020-21 to 2024-25)</w:t>
      </w:r>
    </w:p>
    <w:p>
      <w:pPr>
        <w:spacing w:after="160"/>
      </w:pPr>
      <w:r>
        <w:t xml:space="preserve">Total school enrolment (Classes I-XII) peaked around 2021-22 at ~255.7 million and has since declined to ~232.9 million in 2024-25 — an ~8% fall. The steepest decline is at the primary level, while secondary and higher-secondary enrolment ticked up slightly in the latest year, a sign of improving retention further up the pipeline.</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2400"/>
        <w:gridCol w:w="1900"/>
        <w:gridCol w:w="2100"/>
        <w:gridCol w:w="1700"/>
      </w:tblGrid>
      <w:tr>
        <w:trPr>
          <w:tblHeader/>
        </w:trPr>
        <w:tc>
          <w:tcPr>
            <w:tcW w:type="dxa" w:w="1600"/>
            <w:shd w:fill="13294B" w:val="clear"/>
            <w:tcMar>
              <w:top w:type="dxa" w:w="60"/>
              <w:left w:type="dxa" w:w="100"/>
              <w:bottom w:type="dxa" w:w="60"/>
              <w:right w:type="dxa" w:w="100"/>
            </w:tcMar>
          </w:tcPr>
          <w:p>
            <w:pPr>
              <w:jc w:val="center"/>
            </w:pPr>
            <w:r>
              <w:rPr>
                <w:b/>
                <w:bCs/>
                <w:color w:val="FFFFFF"/>
                <w:sz w:val="19"/>
                <w:szCs w:val="19"/>
              </w:rPr>
              <w:t xml:space="preserve">Year</w:t>
            </w:r>
          </w:p>
        </w:tc>
        <w:tc>
          <w:tcPr>
            <w:tcW w:type="dxa" w:w="1900"/>
            <w:shd w:fill="13294B" w:val="clear"/>
            <w:tcMar>
              <w:top w:type="dxa" w:w="60"/>
              <w:left w:type="dxa" w:w="100"/>
              <w:bottom w:type="dxa" w:w="60"/>
              <w:right w:type="dxa" w:w="100"/>
            </w:tcMar>
          </w:tcPr>
          <w:p>
            <w:pPr>
              <w:jc w:val="center"/>
            </w:pPr>
            <w:r>
              <w:rPr>
                <w:b/>
                <w:bCs/>
                <w:color w:val="FFFFFF"/>
                <w:sz w:val="19"/>
                <w:szCs w:val="19"/>
              </w:rPr>
              <w:t xml:space="preserve">Primary (I-V)</w:t>
            </w:r>
          </w:p>
        </w:tc>
        <w:tc>
          <w:tcPr>
            <w:tcW w:type="dxa" w:w="2400"/>
            <w:shd w:fill="13294B" w:val="clear"/>
            <w:tcMar>
              <w:top w:type="dxa" w:w="60"/>
              <w:left w:type="dxa" w:w="100"/>
              <w:bottom w:type="dxa" w:w="60"/>
              <w:right w:type="dxa" w:w="100"/>
            </w:tcMar>
          </w:tcPr>
          <w:p>
            <w:pPr>
              <w:jc w:val="center"/>
            </w:pPr>
            <w:r>
              <w:rPr>
                <w:b/>
                <w:bCs/>
                <w:color w:val="FFFFFF"/>
                <w:sz w:val="19"/>
                <w:szCs w:val="19"/>
              </w:rPr>
              <w:t xml:space="preserve">Upper Primary (VI-VIII)</w:t>
            </w:r>
          </w:p>
        </w:tc>
        <w:tc>
          <w:tcPr>
            <w:tcW w:type="dxa" w:w="1900"/>
            <w:shd w:fill="13294B" w:val="clear"/>
            <w:tcMar>
              <w:top w:type="dxa" w:w="60"/>
              <w:left w:type="dxa" w:w="100"/>
              <w:bottom w:type="dxa" w:w="60"/>
              <w:right w:type="dxa" w:w="100"/>
            </w:tcMar>
          </w:tcPr>
          <w:p>
            <w:pPr>
              <w:jc w:val="center"/>
            </w:pPr>
            <w:r>
              <w:rPr>
                <w:b/>
                <w:bCs/>
                <w:color w:val="FFFFFF"/>
                <w:sz w:val="19"/>
                <w:szCs w:val="19"/>
              </w:rPr>
              <w:t xml:space="preserve">Secondary (IX-X)</w:t>
            </w:r>
          </w:p>
        </w:tc>
        <w:tc>
          <w:tcPr>
            <w:tcW w:type="dxa" w:w="2100"/>
            <w:shd w:fill="13294B" w:val="clear"/>
            <w:tcMar>
              <w:top w:type="dxa" w:w="60"/>
              <w:left w:type="dxa" w:w="100"/>
              <w:bottom w:type="dxa" w:w="60"/>
              <w:right w:type="dxa" w:w="100"/>
            </w:tcMar>
          </w:tcPr>
          <w:p>
            <w:pPr>
              <w:jc w:val="center"/>
            </w:pPr>
            <w:r>
              <w:rPr>
                <w:b/>
                <w:bCs/>
                <w:color w:val="FFFFFF"/>
                <w:sz w:val="19"/>
                <w:szCs w:val="19"/>
              </w:rPr>
              <w:t xml:space="preserve">Higher Sec. (XI-XII)</w:t>
            </w:r>
          </w:p>
        </w:tc>
        <w:tc>
          <w:tcPr>
            <w:tcW w:type="dxa" w:w="1700"/>
            <w:shd w:fill="13294B" w:val="clear"/>
            <w:tcMar>
              <w:top w:type="dxa" w:w="60"/>
              <w:left w:type="dxa" w:w="100"/>
              <w:bottom w:type="dxa" w:w="60"/>
              <w:right w:type="dxa" w:w="100"/>
            </w:tcMar>
          </w:tcPr>
          <w:p>
            <w:pPr>
              <w:jc w:val="center"/>
            </w:pPr>
            <w:r>
              <w:rPr>
                <w:b/>
                <w:bCs/>
                <w:color w:val="FFFFFF"/>
                <w:sz w:val="19"/>
                <w:szCs w:val="19"/>
              </w:rPr>
              <w:t xml:space="preserve">Total (I-XII)</w:t>
            </w:r>
          </w:p>
        </w:tc>
      </w:tr>
      <w:tr>
        <w:tc>
          <w:tcPr>
            <w:tcW w:type="dxa" w:w="1600"/>
            <w:tcMar>
              <w:top w:type="dxa" w:w="60"/>
              <w:left w:type="dxa" w:w="100"/>
              <w:bottom w:type="dxa" w:w="60"/>
              <w:right w:type="dxa" w:w="100"/>
            </w:tcMar>
          </w:tcPr>
          <w:p>
            <w:pPr>
              <w:jc w:val="left"/>
            </w:pPr>
            <w:r>
              <w:rPr>
                <w:b w:val="false"/>
                <w:bCs w:val="false"/>
                <w:sz w:val="19"/>
                <w:szCs w:val="19"/>
              </w:rPr>
              <w:t xml:space="preserve">2020-21</w:t>
            </w:r>
          </w:p>
        </w:tc>
        <w:tc>
          <w:tcPr>
            <w:tcW w:type="dxa" w:w="1900"/>
            <w:tcMar>
              <w:top w:type="dxa" w:w="60"/>
              <w:left w:type="dxa" w:w="100"/>
              <w:bottom w:type="dxa" w:w="60"/>
              <w:right w:type="dxa" w:w="100"/>
            </w:tcMar>
          </w:tcPr>
          <w:p>
            <w:pPr>
              <w:jc w:val="center"/>
            </w:pPr>
            <w:r>
              <w:rPr>
                <w:b w:val="false"/>
                <w:bCs w:val="false"/>
                <w:sz w:val="19"/>
                <w:szCs w:val="19"/>
              </w:rPr>
              <w:t xml:space="preserve">122.0M</w:t>
            </w:r>
          </w:p>
        </w:tc>
        <w:tc>
          <w:tcPr>
            <w:tcW w:type="dxa" w:w="2400"/>
            <w:tcMar>
              <w:top w:type="dxa" w:w="60"/>
              <w:left w:type="dxa" w:w="100"/>
              <w:bottom w:type="dxa" w:w="60"/>
              <w:right w:type="dxa" w:w="100"/>
            </w:tcMar>
          </w:tcPr>
          <w:p>
            <w:pPr>
              <w:jc w:val="center"/>
            </w:pPr>
            <w:r>
              <w:rPr>
                <w:b w:val="false"/>
                <w:bCs w:val="false"/>
                <w:sz w:val="19"/>
                <w:szCs w:val="19"/>
              </w:rPr>
              <w:t xml:space="preserve">65.85M</w:t>
            </w:r>
          </w:p>
        </w:tc>
        <w:tc>
          <w:tcPr>
            <w:tcW w:type="dxa" w:w="1900"/>
            <w:tcMar>
              <w:top w:type="dxa" w:w="60"/>
              <w:left w:type="dxa" w:w="100"/>
              <w:bottom w:type="dxa" w:w="60"/>
              <w:right w:type="dxa" w:w="100"/>
            </w:tcMar>
          </w:tcPr>
          <w:p>
            <w:pPr>
              <w:jc w:val="center"/>
            </w:pPr>
            <w:r>
              <w:rPr>
                <w:b w:val="false"/>
                <w:bCs w:val="false"/>
                <w:sz w:val="19"/>
                <w:szCs w:val="19"/>
              </w:rPr>
              <w:t xml:space="preserve">39.01M</w:t>
            </w:r>
          </w:p>
        </w:tc>
        <w:tc>
          <w:tcPr>
            <w:tcW w:type="dxa" w:w="2100"/>
            <w:tcMar>
              <w:top w:type="dxa" w:w="60"/>
              <w:left w:type="dxa" w:w="100"/>
              <w:bottom w:type="dxa" w:w="60"/>
              <w:right w:type="dxa" w:w="100"/>
            </w:tcMar>
          </w:tcPr>
          <w:p>
            <w:pPr>
              <w:jc w:val="center"/>
            </w:pPr>
            <w:r>
              <w:rPr>
                <w:b w:val="false"/>
                <w:bCs w:val="false"/>
                <w:sz w:val="19"/>
                <w:szCs w:val="19"/>
              </w:rPr>
              <w:t xml:space="preserve">26.92M</w:t>
            </w:r>
          </w:p>
        </w:tc>
        <w:tc>
          <w:tcPr>
            <w:tcW w:type="dxa" w:w="1700"/>
            <w:tcMar>
              <w:top w:type="dxa" w:w="60"/>
              <w:left w:type="dxa" w:w="100"/>
              <w:bottom w:type="dxa" w:w="60"/>
              <w:right w:type="dxa" w:w="100"/>
            </w:tcMar>
          </w:tcPr>
          <w:p>
            <w:pPr>
              <w:jc w:val="center"/>
            </w:pPr>
            <w:r>
              <w:rPr>
                <w:b w:val="false"/>
                <w:bCs w:val="false"/>
                <w:sz w:val="19"/>
                <w:szCs w:val="19"/>
              </w:rPr>
              <w:t xml:space="preserve">253.80M</w:t>
            </w:r>
          </w:p>
        </w:tc>
      </w:tr>
      <w:tr>
        <w:tc>
          <w:tcPr>
            <w:tcW w:type="dxa" w:w="1600"/>
            <w:shd w:fill="F2F2F2" w:val="clear"/>
            <w:tcMar>
              <w:top w:type="dxa" w:w="60"/>
              <w:left w:type="dxa" w:w="100"/>
              <w:bottom w:type="dxa" w:w="60"/>
              <w:right w:type="dxa" w:w="100"/>
            </w:tcMar>
          </w:tcPr>
          <w:p>
            <w:pPr>
              <w:jc w:val="left"/>
            </w:pPr>
            <w:r>
              <w:rPr>
                <w:b w:val="false"/>
                <w:bCs w:val="false"/>
                <w:sz w:val="19"/>
                <w:szCs w:val="19"/>
              </w:rPr>
              <w:t xml:space="preserve">2021-22</w:t>
            </w:r>
          </w:p>
        </w:tc>
        <w:tc>
          <w:tcPr>
            <w:tcW w:type="dxa" w:w="1900"/>
            <w:shd w:fill="F2F2F2" w:val="clear"/>
            <w:tcMar>
              <w:top w:type="dxa" w:w="60"/>
              <w:left w:type="dxa" w:w="100"/>
              <w:bottom w:type="dxa" w:w="60"/>
              <w:right w:type="dxa" w:w="100"/>
            </w:tcMar>
          </w:tcPr>
          <w:p>
            <w:pPr>
              <w:jc w:val="center"/>
            </w:pPr>
            <w:r>
              <w:rPr>
                <w:b w:val="false"/>
                <w:bCs w:val="false"/>
                <w:sz w:val="19"/>
                <w:szCs w:val="19"/>
              </w:rPr>
              <w:t xml:space="preserve">121.8M</w:t>
            </w:r>
          </w:p>
        </w:tc>
        <w:tc>
          <w:tcPr>
            <w:tcW w:type="dxa" w:w="2400"/>
            <w:shd w:fill="F2F2F2" w:val="clear"/>
            <w:tcMar>
              <w:top w:type="dxa" w:w="60"/>
              <w:left w:type="dxa" w:w="100"/>
              <w:bottom w:type="dxa" w:w="60"/>
              <w:right w:type="dxa" w:w="100"/>
            </w:tcMar>
          </w:tcPr>
          <w:p>
            <w:pPr>
              <w:jc w:val="center"/>
            </w:pPr>
            <w:r>
              <w:rPr>
                <w:b w:val="false"/>
                <w:bCs w:val="false"/>
                <w:sz w:val="19"/>
                <w:szCs w:val="19"/>
              </w:rPr>
              <w:t xml:space="preserve">66.79M</w:t>
            </w:r>
          </w:p>
        </w:tc>
        <w:tc>
          <w:tcPr>
            <w:tcW w:type="dxa" w:w="1900"/>
            <w:shd w:fill="F2F2F2" w:val="clear"/>
            <w:tcMar>
              <w:top w:type="dxa" w:w="60"/>
              <w:left w:type="dxa" w:w="100"/>
              <w:bottom w:type="dxa" w:w="60"/>
              <w:right w:type="dxa" w:w="100"/>
            </w:tcMar>
          </w:tcPr>
          <w:p>
            <w:pPr>
              <w:jc w:val="center"/>
            </w:pPr>
            <w:r>
              <w:rPr>
                <w:b w:val="false"/>
                <w:bCs w:val="false"/>
                <w:sz w:val="19"/>
                <w:szCs w:val="19"/>
              </w:rPr>
              <w:t xml:space="preserve">38.53M</w:t>
            </w:r>
          </w:p>
        </w:tc>
        <w:tc>
          <w:tcPr>
            <w:tcW w:type="dxa" w:w="2100"/>
            <w:shd w:fill="F2F2F2" w:val="clear"/>
            <w:tcMar>
              <w:top w:type="dxa" w:w="60"/>
              <w:left w:type="dxa" w:w="100"/>
              <w:bottom w:type="dxa" w:w="60"/>
              <w:right w:type="dxa" w:w="100"/>
            </w:tcMar>
          </w:tcPr>
          <w:p>
            <w:pPr>
              <w:jc w:val="center"/>
            </w:pPr>
            <w:r>
              <w:rPr>
                <w:b w:val="false"/>
                <w:bCs w:val="false"/>
                <w:sz w:val="19"/>
                <w:szCs w:val="19"/>
              </w:rPr>
              <w:t xml:space="preserve">28.58M</w:t>
            </w:r>
          </w:p>
        </w:tc>
        <w:tc>
          <w:tcPr>
            <w:tcW w:type="dxa" w:w="1700"/>
            <w:shd w:fill="F2F2F2" w:val="clear"/>
            <w:tcMar>
              <w:top w:type="dxa" w:w="60"/>
              <w:left w:type="dxa" w:w="100"/>
              <w:bottom w:type="dxa" w:w="60"/>
              <w:right w:type="dxa" w:w="100"/>
            </w:tcMar>
          </w:tcPr>
          <w:p>
            <w:pPr>
              <w:jc w:val="center"/>
            </w:pPr>
            <w:r>
              <w:rPr>
                <w:b w:val="false"/>
                <w:bCs w:val="false"/>
                <w:sz w:val="19"/>
                <w:szCs w:val="19"/>
              </w:rPr>
              <w:t xml:space="preserve">255.74M</w:t>
            </w:r>
          </w:p>
        </w:tc>
      </w:tr>
      <w:tr>
        <w:tc>
          <w:tcPr>
            <w:tcW w:type="dxa" w:w="1600"/>
            <w:tcMar>
              <w:top w:type="dxa" w:w="60"/>
              <w:left w:type="dxa" w:w="100"/>
              <w:bottom w:type="dxa" w:w="60"/>
              <w:right w:type="dxa" w:w="100"/>
            </w:tcMar>
          </w:tcPr>
          <w:p>
            <w:pPr>
              <w:jc w:val="left"/>
            </w:pPr>
            <w:r>
              <w:rPr>
                <w:b w:val="false"/>
                <w:bCs w:val="false"/>
                <w:sz w:val="19"/>
                <w:szCs w:val="19"/>
              </w:rPr>
              <w:t xml:space="preserve">2022-23</w:t>
            </w:r>
          </w:p>
        </w:tc>
        <w:tc>
          <w:tcPr>
            <w:tcW w:type="dxa" w:w="1900"/>
            <w:tcMar>
              <w:top w:type="dxa" w:w="60"/>
              <w:left w:type="dxa" w:w="100"/>
              <w:bottom w:type="dxa" w:w="60"/>
              <w:right w:type="dxa" w:w="100"/>
            </w:tcMar>
          </w:tcPr>
          <w:p>
            <w:pPr>
              <w:jc w:val="center"/>
            </w:pPr>
            <w:r>
              <w:rPr>
                <w:b w:val="false"/>
                <w:bCs w:val="false"/>
                <w:sz w:val="19"/>
                <w:szCs w:val="19"/>
              </w:rPr>
              <w:t xml:space="preserve">112.4M</w:t>
            </w:r>
          </w:p>
        </w:tc>
        <w:tc>
          <w:tcPr>
            <w:tcW w:type="dxa" w:w="2400"/>
            <w:tcMar>
              <w:top w:type="dxa" w:w="60"/>
              <w:left w:type="dxa" w:w="100"/>
              <w:bottom w:type="dxa" w:w="60"/>
              <w:right w:type="dxa" w:w="100"/>
            </w:tcMar>
          </w:tcPr>
          <w:p>
            <w:pPr>
              <w:jc w:val="center"/>
            </w:pPr>
            <w:r>
              <w:rPr>
                <w:b w:val="false"/>
                <w:bCs w:val="false"/>
                <w:sz w:val="19"/>
                <w:szCs w:val="19"/>
              </w:rPr>
              <w:t xml:space="preserve">63.48M</w:t>
            </w:r>
          </w:p>
        </w:tc>
        <w:tc>
          <w:tcPr>
            <w:tcW w:type="dxa" w:w="1900"/>
            <w:tcMar>
              <w:top w:type="dxa" w:w="60"/>
              <w:left w:type="dxa" w:w="100"/>
              <w:bottom w:type="dxa" w:w="60"/>
              <w:right w:type="dxa" w:w="100"/>
            </w:tcMar>
          </w:tcPr>
          <w:p>
            <w:pPr>
              <w:jc w:val="center"/>
            </w:pPr>
            <w:r>
              <w:rPr>
                <w:b w:val="false"/>
                <w:bCs w:val="false"/>
                <w:sz w:val="19"/>
                <w:szCs w:val="19"/>
              </w:rPr>
              <w:t xml:space="preserve">37.93M</w:t>
            </w:r>
          </w:p>
        </w:tc>
        <w:tc>
          <w:tcPr>
            <w:tcW w:type="dxa" w:w="2100"/>
            <w:tcMar>
              <w:top w:type="dxa" w:w="60"/>
              <w:left w:type="dxa" w:w="100"/>
              <w:bottom w:type="dxa" w:w="60"/>
              <w:right w:type="dxa" w:w="100"/>
            </w:tcMar>
          </w:tcPr>
          <w:p>
            <w:pPr>
              <w:jc w:val="center"/>
            </w:pPr>
            <w:r>
              <w:rPr>
                <w:b w:val="false"/>
                <w:bCs w:val="false"/>
                <w:sz w:val="19"/>
                <w:szCs w:val="19"/>
              </w:rPr>
              <w:t xml:space="preserve">27.79M</w:t>
            </w:r>
          </w:p>
        </w:tc>
        <w:tc>
          <w:tcPr>
            <w:tcW w:type="dxa" w:w="1700"/>
            <w:tcMar>
              <w:top w:type="dxa" w:w="60"/>
              <w:left w:type="dxa" w:w="100"/>
              <w:bottom w:type="dxa" w:w="60"/>
              <w:right w:type="dxa" w:w="100"/>
            </w:tcMar>
          </w:tcPr>
          <w:p>
            <w:pPr>
              <w:jc w:val="center"/>
            </w:pPr>
            <w:r>
              <w:rPr>
                <w:b w:val="false"/>
                <w:bCs w:val="false"/>
                <w:sz w:val="19"/>
                <w:szCs w:val="19"/>
              </w:rPr>
              <w:t xml:space="preserve">241.62M</w:t>
            </w:r>
          </w:p>
        </w:tc>
      </w:tr>
      <w:tr>
        <w:tc>
          <w:tcPr>
            <w:tcW w:type="dxa" w:w="1600"/>
            <w:shd w:fill="F2F2F2" w:val="clear"/>
            <w:tcMar>
              <w:top w:type="dxa" w:w="60"/>
              <w:left w:type="dxa" w:w="100"/>
              <w:bottom w:type="dxa" w:w="60"/>
              <w:right w:type="dxa" w:w="100"/>
            </w:tcMar>
          </w:tcPr>
          <w:p>
            <w:pPr>
              <w:jc w:val="left"/>
            </w:pPr>
            <w:r>
              <w:rPr>
                <w:b w:val="false"/>
                <w:bCs w:val="false"/>
                <w:sz w:val="19"/>
                <w:szCs w:val="19"/>
              </w:rPr>
              <w:t xml:space="preserve">2023-24</w:t>
            </w:r>
          </w:p>
        </w:tc>
        <w:tc>
          <w:tcPr>
            <w:tcW w:type="dxa" w:w="1900"/>
            <w:shd w:fill="F2F2F2" w:val="clear"/>
            <w:tcMar>
              <w:top w:type="dxa" w:w="60"/>
              <w:left w:type="dxa" w:w="100"/>
              <w:bottom w:type="dxa" w:w="60"/>
              <w:right w:type="dxa" w:w="100"/>
            </w:tcMar>
          </w:tcPr>
          <w:p>
            <w:pPr>
              <w:jc w:val="center"/>
            </w:pPr>
            <w:r>
              <w:rPr>
                <w:b w:val="false"/>
                <w:bCs w:val="false"/>
                <w:sz w:val="19"/>
                <w:szCs w:val="19"/>
              </w:rPr>
              <w:t xml:space="preserve">107.8M</w:t>
            </w:r>
          </w:p>
        </w:tc>
        <w:tc>
          <w:tcPr>
            <w:tcW w:type="dxa" w:w="2400"/>
            <w:shd w:fill="F2F2F2" w:val="clear"/>
            <w:tcMar>
              <w:top w:type="dxa" w:w="60"/>
              <w:left w:type="dxa" w:w="100"/>
              <w:bottom w:type="dxa" w:w="60"/>
              <w:right w:type="dxa" w:w="100"/>
            </w:tcMar>
          </w:tcPr>
          <w:p>
            <w:pPr>
              <w:jc w:val="center"/>
            </w:pPr>
            <w:r>
              <w:rPr>
                <w:b w:val="false"/>
                <w:bCs w:val="false"/>
                <w:sz w:val="19"/>
                <w:szCs w:val="19"/>
              </w:rPr>
              <w:t xml:space="preserve">63.13M</w:t>
            </w:r>
          </w:p>
        </w:tc>
        <w:tc>
          <w:tcPr>
            <w:tcW w:type="dxa" w:w="1900"/>
            <w:shd w:fill="F2F2F2" w:val="clear"/>
            <w:tcMar>
              <w:top w:type="dxa" w:w="60"/>
              <w:left w:type="dxa" w:w="100"/>
              <w:bottom w:type="dxa" w:w="60"/>
              <w:right w:type="dxa" w:w="100"/>
            </w:tcMar>
          </w:tcPr>
          <w:p>
            <w:pPr>
              <w:jc w:val="center"/>
            </w:pPr>
            <w:r>
              <w:rPr>
                <w:b w:val="false"/>
                <w:bCs w:val="false"/>
                <w:sz w:val="19"/>
                <w:szCs w:val="19"/>
              </w:rPr>
              <w:t xml:space="preserve">36.86M</w:t>
            </w:r>
          </w:p>
        </w:tc>
        <w:tc>
          <w:tcPr>
            <w:tcW w:type="dxa" w:w="2100"/>
            <w:shd w:fill="F2F2F2" w:val="clear"/>
            <w:tcMar>
              <w:top w:type="dxa" w:w="60"/>
              <w:left w:type="dxa" w:w="100"/>
              <w:bottom w:type="dxa" w:w="60"/>
              <w:right w:type="dxa" w:w="100"/>
            </w:tcMar>
          </w:tcPr>
          <w:p>
            <w:pPr>
              <w:jc w:val="center"/>
            </w:pPr>
            <w:r>
              <w:rPr>
                <w:b w:val="false"/>
                <w:bCs w:val="false"/>
                <w:sz w:val="19"/>
                <w:szCs w:val="19"/>
              </w:rPr>
              <w:t xml:space="preserve">27.14M</w:t>
            </w:r>
          </w:p>
        </w:tc>
        <w:tc>
          <w:tcPr>
            <w:tcW w:type="dxa" w:w="1700"/>
            <w:shd w:fill="F2F2F2" w:val="clear"/>
            <w:tcMar>
              <w:top w:type="dxa" w:w="60"/>
              <w:left w:type="dxa" w:w="100"/>
              <w:bottom w:type="dxa" w:w="60"/>
              <w:right w:type="dxa" w:w="100"/>
            </w:tcMar>
          </w:tcPr>
          <w:p>
            <w:pPr>
              <w:jc w:val="center"/>
            </w:pPr>
            <w:r>
              <w:rPr>
                <w:b w:val="false"/>
                <w:bCs w:val="false"/>
                <w:sz w:val="19"/>
                <w:szCs w:val="19"/>
              </w:rPr>
              <w:t xml:space="preserve">234.96M</w:t>
            </w:r>
          </w:p>
        </w:tc>
      </w:tr>
      <w:tr>
        <w:tc>
          <w:tcPr>
            <w:tcW w:type="dxa" w:w="1600"/>
            <w:tcMar>
              <w:top w:type="dxa" w:w="60"/>
              <w:left w:type="dxa" w:w="100"/>
              <w:bottom w:type="dxa" w:w="60"/>
              <w:right w:type="dxa" w:w="100"/>
            </w:tcMar>
          </w:tcPr>
          <w:p>
            <w:pPr>
              <w:jc w:val="left"/>
            </w:pPr>
            <w:r>
              <w:rPr>
                <w:b w:val="false"/>
                <w:bCs w:val="false"/>
                <w:sz w:val="19"/>
                <w:szCs w:val="19"/>
              </w:rPr>
              <w:t xml:space="preserve">2024-25</w:t>
            </w:r>
          </w:p>
        </w:tc>
        <w:tc>
          <w:tcPr>
            <w:tcW w:type="dxa" w:w="1900"/>
            <w:tcMar>
              <w:top w:type="dxa" w:w="60"/>
              <w:left w:type="dxa" w:w="100"/>
              <w:bottom w:type="dxa" w:w="60"/>
              <w:right w:type="dxa" w:w="100"/>
            </w:tcMar>
          </w:tcPr>
          <w:p>
            <w:pPr>
              <w:jc w:val="center"/>
            </w:pPr>
            <w:r>
              <w:rPr>
                <w:b w:val="false"/>
                <w:bCs w:val="false"/>
                <w:sz w:val="19"/>
                <w:szCs w:val="19"/>
              </w:rPr>
              <w:t xml:space="preserve">104.4M</w:t>
            </w:r>
          </w:p>
        </w:tc>
        <w:tc>
          <w:tcPr>
            <w:tcW w:type="dxa" w:w="2400"/>
            <w:tcMar>
              <w:top w:type="dxa" w:w="60"/>
              <w:left w:type="dxa" w:w="100"/>
              <w:bottom w:type="dxa" w:w="60"/>
              <w:right w:type="dxa" w:w="100"/>
            </w:tcMar>
          </w:tcPr>
          <w:p>
            <w:pPr>
              <w:jc w:val="center"/>
            </w:pPr>
            <w:r>
              <w:rPr>
                <w:b w:val="false"/>
                <w:bCs w:val="false"/>
                <w:sz w:val="19"/>
                <w:szCs w:val="19"/>
              </w:rPr>
              <w:t xml:space="preserve">63.70M</w:t>
            </w:r>
          </w:p>
        </w:tc>
        <w:tc>
          <w:tcPr>
            <w:tcW w:type="dxa" w:w="1900"/>
            <w:tcMar>
              <w:top w:type="dxa" w:w="60"/>
              <w:left w:type="dxa" w:w="100"/>
              <w:bottom w:type="dxa" w:w="60"/>
              <w:right w:type="dxa" w:w="100"/>
            </w:tcMar>
          </w:tcPr>
          <w:p>
            <w:pPr>
              <w:jc w:val="center"/>
            </w:pPr>
            <w:r>
              <w:rPr>
                <w:b w:val="false"/>
                <w:bCs w:val="false"/>
                <w:sz w:val="19"/>
                <w:szCs w:val="19"/>
              </w:rPr>
              <w:t xml:space="preserve">37.17M</w:t>
            </w:r>
          </w:p>
        </w:tc>
        <w:tc>
          <w:tcPr>
            <w:tcW w:type="dxa" w:w="2100"/>
            <w:tcMar>
              <w:top w:type="dxa" w:w="60"/>
              <w:left w:type="dxa" w:w="100"/>
              <w:bottom w:type="dxa" w:w="60"/>
              <w:right w:type="dxa" w:w="100"/>
            </w:tcMar>
          </w:tcPr>
          <w:p>
            <w:pPr>
              <w:jc w:val="center"/>
            </w:pPr>
            <w:r>
              <w:rPr>
                <w:b w:val="false"/>
                <w:bCs w:val="false"/>
                <w:sz w:val="19"/>
                <w:szCs w:val="19"/>
              </w:rPr>
              <w:t xml:space="preserve">27.64M</w:t>
            </w:r>
          </w:p>
        </w:tc>
        <w:tc>
          <w:tcPr>
            <w:tcW w:type="dxa" w:w="1700"/>
            <w:tcMar>
              <w:top w:type="dxa" w:w="60"/>
              <w:left w:type="dxa" w:w="100"/>
              <w:bottom w:type="dxa" w:w="60"/>
              <w:right w:type="dxa" w:w="100"/>
            </w:tcMar>
          </w:tcPr>
          <w:p>
            <w:pPr>
              <w:jc w:val="center"/>
            </w:pPr>
            <w:r>
              <w:rPr>
                <w:b w:val="false"/>
                <w:bCs w:val="false"/>
                <w:sz w:val="19"/>
                <w:szCs w:val="19"/>
              </w:rPr>
              <w:t xml:space="preserve">232.89M</w:t>
            </w:r>
          </w:p>
        </w:tc>
      </w:tr>
    </w:tbl>
    <w:p>
      <w:pPr>
        <w:spacing w:after="240"/>
      </w:pPr>
      <w:r>
        <w:rPr>
          <w:i/>
          <w:iCs/>
          <w:color w:val="595959"/>
          <w:sz w:val="19"/>
          <w:szCs w:val="19"/>
        </w:rPr>
        <w:t xml:space="preserve">Source: UDISE+ national data as compiled by Education for All in India. Figures exclude pre-primary (which rose to ~14.05M in 2024-25).</w:t>
      </w:r>
    </w:p>
    <w:p>
      <w:pPr>
        <w:pStyle w:val="ListParagraph"/>
        <w:numPr>
          <w:ilvl w:val="0"/>
          <w:numId w:val="1"/>
        </w:numPr>
        <w:spacing w:after="80"/>
      </w:pPr>
      <w:r>
        <w:rPr>
          <w:b/>
          <w:bCs/>
        </w:rPr>
        <w:t xml:space="preserve">Primary enrolment: </w:t>
      </w:r>
      <w:r>
        <w:t xml:space="preserve">down 14.4% from 2020-21 to 2024-25 — the sharpest fall of any segment, plausibly reflecting demographic change, migration, and dropout.</w:t>
      </w:r>
    </w:p>
    <w:p>
      <w:pPr>
        <w:pStyle w:val="ListParagraph"/>
        <w:numPr>
          <w:ilvl w:val="0"/>
          <w:numId w:val="1"/>
        </w:numPr>
        <w:spacing w:after="80"/>
      </w:pPr>
      <w:r>
        <w:rPr>
          <w:b/>
          <w:bCs/>
        </w:rPr>
        <w:t xml:space="preserve">Secondary &amp; higher-secondary: </w:t>
      </w:r>
      <w:r>
        <w:t xml:space="preserve">stabilised or grew slightly in 2024-25, suggesting modest retention gains once students clear the primary/upper-primary transition.</w:t>
      </w:r>
    </w:p>
    <w:p>
      <w:pPr>
        <w:pStyle w:val="ListParagraph"/>
        <w:numPr>
          <w:ilvl w:val="0"/>
          <w:numId w:val="1"/>
        </w:numPr>
        <w:spacing w:after="80"/>
      </w:pPr>
      <w:r>
        <w:rPr>
          <w:b/>
          <w:bCs/>
        </w:rPr>
        <w:t xml:space="preserve">Elementary GER: </w:t>
      </w:r>
      <w:r>
        <w:t xml:space="preserve">fell from ~94% in 2023-24 to 90.6% in 2024-25, tracking the broader enrolment decline.</w:t>
      </w:r>
    </w:p>
    <w:p>
      <w:pPr>
        <w:spacing w:after="240"/>
      </w:pPr>
      <w:r>
        <w:rPr>
          <w:i/>
          <w:iCs/>
          <w:color w:val="595959"/>
          <w:sz w:val="19"/>
          <w:szCs w:val="19"/>
        </w:rPr>
        <w:t xml:space="preserve">Implication for Path-shaala: declining primary enrolment does not shrink teacher demand proportionally — pupil-teacher ratios are already improving (Section 5), meaning schools are more likely to reallocate or right-size staff than mass-hire at primary level; secondary/higher-secondary stabilisation is where net new demand is likelier to emerge.</w:t>
      </w:r>
    </w:p>
    <w:p>
      <w:pPr>
        <w:pStyle w:val="Heading1"/>
        <w:spacing w:after="200" w:before="400"/>
      </w:pPr>
      <w:r>
        <w:t xml:space="preserve">5. Supply-Side Analysis: The Teacher Workforce</w:t>
      </w:r>
    </w:p>
    <w:p>
      <w:pPr>
        <w:spacing w:after="160"/>
      </w:pPr>
      <w:r>
        <w:t xml:space="preserve">India had 10.12 million teachers across all levels and management types in 2024-25 — up 3.2% from 9.81M in 2023-24 and 6.7% from 94.8 lakh in 2022-23. Government schools employ about 51% of teachers (5.15M), government-aided schools 7.5% (0.76M), and private unaided schools 39% (3.96M).</w:t>
      </w:r>
    </w:p>
    <w:p>
      <w:pPr>
        <w:pStyle w:val="Heading2"/>
        <w:spacing w:after="150" w:before="300"/>
      </w:pPr>
      <w:r>
        <w:t xml:space="preserve">5.1 Rural Concentration of the Workforce</w:t>
      </w:r>
    </w:p>
    <w:p>
      <w:pPr>
        <w:spacing w:after="160"/>
      </w:pPr>
      <w:r>
        <w:t xml:space="preserve">UDISE+ does not publish an official rural/urban breakdown of teachers, but school-count data implies a strong rural skew: ~82% of schools are rural (12.1 lakh rural vs. 2.6 lakh urban). Older PLFS (2018/19) data confirms this directly — about three-quarters of all teachers worked in rural schools, of whom 60% were in government schools, 26% in private schools, and 7% in private-aided schools. In urban areas the mix flips: 57% of urban teachers were in private unaided schools, 25% in government, and 12% in private-aided.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400"/>
        <w:gridCol w:w="3600"/>
      </w:tblGrid>
      <w:tr>
        <w:trPr>
          <w:tblHeader/>
        </w:trPr>
        <w:tc>
          <w:tcPr>
            <w:tcW w:type="dxa" w:w="6400"/>
            <w:shd w:fill="13294B" w:val="clear"/>
            <w:tcMar>
              <w:top w:type="dxa" w:w="60"/>
              <w:left w:type="dxa" w:w="100"/>
              <w:bottom w:type="dxa" w:w="60"/>
              <w:right w:type="dxa" w:w="100"/>
            </w:tcMar>
          </w:tcPr>
          <w:p>
            <w:pPr>
              <w:jc w:val="center"/>
            </w:pPr>
            <w:r>
              <w:rPr>
                <w:b/>
                <w:bCs/>
                <w:color w:val="FFFFFF"/>
                <w:sz w:val="19"/>
                <w:szCs w:val="19"/>
              </w:rPr>
              <w:t xml:space="preserve">Segment</w:t>
            </w:r>
          </w:p>
        </w:tc>
        <w:tc>
          <w:tcPr>
            <w:tcW w:type="dxa" w:w="3600"/>
            <w:shd w:fill="13294B" w:val="clear"/>
            <w:tcMar>
              <w:top w:type="dxa" w:w="60"/>
              <w:left w:type="dxa" w:w="100"/>
              <w:bottom w:type="dxa" w:w="60"/>
              <w:right w:type="dxa" w:w="100"/>
            </w:tcMar>
          </w:tcPr>
          <w:p>
            <w:pPr>
              <w:jc w:val="center"/>
            </w:pPr>
            <w:r>
              <w:rPr>
                <w:b/>
                <w:bCs/>
                <w:color w:val="FFFFFF"/>
                <w:sz w:val="19"/>
                <w:szCs w:val="19"/>
              </w:rPr>
              <w:t xml:space="preserve">Share Working in Rural Areas (PLFS 2018/19)</w:t>
            </w:r>
          </w:p>
        </w:tc>
      </w:tr>
      <w:tr>
        <w:tc>
          <w:tcPr>
            <w:tcW w:type="dxa" w:w="6400"/>
            <w:tcMar>
              <w:top w:type="dxa" w:w="60"/>
              <w:left w:type="dxa" w:w="100"/>
              <w:bottom w:type="dxa" w:w="60"/>
              <w:right w:type="dxa" w:w="100"/>
            </w:tcMar>
          </w:tcPr>
          <w:p>
            <w:pPr>
              <w:jc w:val="left"/>
            </w:pPr>
            <w:r>
              <w:rPr>
                <w:b w:val="false"/>
                <w:bCs w:val="false"/>
                <w:sz w:val="19"/>
                <w:szCs w:val="19"/>
              </w:rPr>
              <w:t xml:space="preserve">Early childhood education teachers</w:t>
            </w:r>
          </w:p>
        </w:tc>
        <w:tc>
          <w:tcPr>
            <w:tcW w:type="dxa" w:w="3600"/>
            <w:tcMar>
              <w:top w:type="dxa" w:w="60"/>
              <w:left w:type="dxa" w:w="100"/>
              <w:bottom w:type="dxa" w:w="60"/>
              <w:right w:type="dxa" w:w="100"/>
            </w:tcMar>
          </w:tcPr>
          <w:p>
            <w:pPr>
              <w:jc w:val="center"/>
            </w:pPr>
            <w:r>
              <w:rPr>
                <w:b w:val="false"/>
                <w:bCs w:val="false"/>
                <w:sz w:val="19"/>
                <w:szCs w:val="19"/>
              </w:rPr>
              <w:t xml:space="preserve">78%</w:t>
            </w:r>
          </w:p>
        </w:tc>
      </w:tr>
      <w:tr>
        <w:tc>
          <w:tcPr>
            <w:tcW w:type="dxa" w:w="6400"/>
            <w:shd w:fill="F2F2F2" w:val="clear"/>
            <w:tcMar>
              <w:top w:type="dxa" w:w="60"/>
              <w:left w:type="dxa" w:w="100"/>
              <w:bottom w:type="dxa" w:w="60"/>
              <w:right w:type="dxa" w:w="100"/>
            </w:tcMar>
          </w:tcPr>
          <w:p>
            <w:pPr>
              <w:jc w:val="left"/>
            </w:pPr>
            <w:r>
              <w:rPr>
                <w:b w:val="false"/>
                <w:bCs w:val="false"/>
                <w:sz w:val="19"/>
                <w:szCs w:val="19"/>
              </w:rPr>
              <w:t xml:space="preserve">Primary school teachers</w:t>
            </w:r>
          </w:p>
        </w:tc>
        <w:tc>
          <w:tcPr>
            <w:tcW w:type="dxa" w:w="3600"/>
            <w:shd w:fill="F2F2F2" w:val="clear"/>
            <w:tcMar>
              <w:top w:type="dxa" w:w="60"/>
              <w:left w:type="dxa" w:w="100"/>
              <w:bottom w:type="dxa" w:w="60"/>
              <w:right w:type="dxa" w:w="100"/>
            </w:tcMar>
          </w:tcPr>
          <w:p>
            <w:pPr>
              <w:jc w:val="center"/>
            </w:pPr>
            <w:r>
              <w:rPr>
                <w:b w:val="false"/>
                <w:bCs w:val="false"/>
                <w:sz w:val="19"/>
                <w:szCs w:val="19"/>
              </w:rPr>
              <w:t xml:space="preserve">59%</w:t>
            </w:r>
          </w:p>
        </w:tc>
      </w:tr>
      <w:tr>
        <w:tc>
          <w:tcPr>
            <w:tcW w:type="dxa" w:w="6400"/>
            <w:tcMar>
              <w:top w:type="dxa" w:w="60"/>
              <w:left w:type="dxa" w:w="100"/>
              <w:bottom w:type="dxa" w:w="60"/>
              <w:right w:type="dxa" w:w="100"/>
            </w:tcMar>
          </w:tcPr>
          <w:p>
            <w:pPr>
              <w:jc w:val="left"/>
            </w:pPr>
            <w:r>
              <w:rPr>
                <w:b w:val="false"/>
                <w:bCs w:val="false"/>
                <w:sz w:val="19"/>
                <w:szCs w:val="19"/>
              </w:rPr>
              <w:t xml:space="preserve">Secondary school teachers</w:t>
            </w:r>
          </w:p>
        </w:tc>
        <w:tc>
          <w:tcPr>
            <w:tcW w:type="dxa" w:w="3600"/>
            <w:tcMar>
              <w:top w:type="dxa" w:w="60"/>
              <w:left w:type="dxa" w:w="100"/>
              <w:bottom w:type="dxa" w:w="60"/>
              <w:right w:type="dxa" w:w="100"/>
            </w:tcMar>
          </w:tcPr>
          <w:p>
            <w:pPr>
              <w:jc w:val="center"/>
            </w:pPr>
            <w:r>
              <w:rPr>
                <w:b w:val="false"/>
                <w:bCs w:val="false"/>
                <w:sz w:val="19"/>
                <w:szCs w:val="19"/>
              </w:rPr>
              <w:t xml:space="preserve">53%</w:t>
            </w:r>
          </w:p>
        </w:tc>
      </w:tr>
      <w:tr>
        <w:tc>
          <w:tcPr>
            <w:tcW w:type="dxa" w:w="6400"/>
            <w:shd w:fill="F2F2F2" w:val="clear"/>
            <w:tcMar>
              <w:top w:type="dxa" w:w="60"/>
              <w:left w:type="dxa" w:w="100"/>
              <w:bottom w:type="dxa" w:w="60"/>
              <w:right w:type="dxa" w:w="100"/>
            </w:tcMar>
          </w:tcPr>
          <w:p>
            <w:pPr>
              <w:jc w:val="left"/>
            </w:pPr>
            <w:r>
              <w:rPr>
                <w:b w:val="false"/>
                <w:bCs w:val="false"/>
                <w:sz w:val="19"/>
                <w:szCs w:val="19"/>
              </w:rPr>
              <w:t xml:space="preserve">Special education teachers</w:t>
            </w:r>
          </w:p>
        </w:tc>
        <w:tc>
          <w:tcPr>
            <w:tcW w:type="dxa" w:w="3600"/>
            <w:shd w:fill="F2F2F2" w:val="clear"/>
            <w:tcMar>
              <w:top w:type="dxa" w:w="60"/>
              <w:left w:type="dxa" w:w="100"/>
              <w:bottom w:type="dxa" w:w="60"/>
              <w:right w:type="dxa" w:w="100"/>
            </w:tcMar>
          </w:tcPr>
          <w:p>
            <w:pPr>
              <w:jc w:val="center"/>
            </w:pPr>
            <w:r>
              <w:rPr>
                <w:b w:val="false"/>
                <w:bCs w:val="false"/>
                <w:sz w:val="19"/>
                <w:szCs w:val="19"/>
              </w:rPr>
              <w:t xml:space="preserve">16%</w:t>
            </w:r>
          </w:p>
        </w:tc>
      </w:tr>
      <w:tr>
        <w:tc>
          <w:tcPr>
            <w:tcW w:type="dxa" w:w="6400"/>
            <w:tcMar>
              <w:top w:type="dxa" w:w="60"/>
              <w:left w:type="dxa" w:w="100"/>
              <w:bottom w:type="dxa" w:w="60"/>
              <w:right w:type="dxa" w:w="100"/>
            </w:tcMar>
          </w:tcPr>
          <w:p>
            <w:pPr>
              <w:jc w:val="left"/>
            </w:pPr>
            <w:r>
              <w:rPr>
                <w:b w:val="false"/>
                <w:bCs w:val="false"/>
                <w:sz w:val="19"/>
                <w:szCs w:val="19"/>
              </w:rPr>
              <w:t xml:space="preserve">Vocational education teachers</w:t>
            </w:r>
          </w:p>
        </w:tc>
        <w:tc>
          <w:tcPr>
            <w:tcW w:type="dxa" w:w="3600"/>
            <w:tcMar>
              <w:top w:type="dxa" w:w="60"/>
              <w:left w:type="dxa" w:w="100"/>
              <w:bottom w:type="dxa" w:w="60"/>
              <w:right w:type="dxa" w:w="100"/>
            </w:tcMar>
          </w:tcPr>
          <w:p>
            <w:pPr>
              <w:jc w:val="center"/>
            </w:pPr>
            <w:r>
              <w:rPr>
                <w:b w:val="false"/>
                <w:bCs w:val="false"/>
                <w:sz w:val="19"/>
                <w:szCs w:val="19"/>
              </w:rPr>
              <w:t xml:space="preserve">34%</w:t>
            </w:r>
          </w:p>
        </w:tc>
      </w:tr>
    </w:tbl>
    <w:p>
      <w:pPr>
        <w:spacing w:after="240"/>
      </w:pPr>
      <w:r>
        <w:rPr>
          <w:i/>
          <w:iCs/>
          <w:color w:val="595959"/>
          <w:sz w:val="19"/>
          <w:szCs w:val="19"/>
        </w:rPr>
        <w:t xml:space="preserve">Source: PLFS 2018/19, as cited in the research base. Special and vocational education specialists are markedly under-represented in rural India — a direct opening for a platform that can surface and mobilise this scarce talent across a wider geography.</w:t>
      </w:r>
    </w:p>
    <w:p>
      <w:pPr>
        <w:spacing w:after="160"/>
      </w:pPr>
      <w:r>
        <w:t xml:space="preserve">Several states report 80%+ of teachers working rurally, including Himachal Pradesh (89%), Sikkim (86%), Bihar (85%), Tripura (82%), and West Bengal, Uttar Pradesh, Assam, Jharkhand (80-81%).</w:t>
      </w:r>
    </w:p>
    <w:p>
      <w:pPr>
        <w:pStyle w:val="Heading2"/>
        <w:spacing w:after="150" w:before="300"/>
      </w:pPr>
      <w:r>
        <w:t xml:space="preserve">5.2 Age Profile &amp; Replacement Demand</w:t>
      </w:r>
    </w:p>
    <w:p>
      <w:pPr>
        <w:spacing w:after="160"/>
      </w:pPr>
      <w:r>
        <w:t xml:space="preserve">The teacher workforce carries a built-in, multi-decade replacement cycle:</w:t>
      </w:r>
    </w:p>
    <w:p>
      <w:pPr>
        <w:pStyle w:val="ListParagraph"/>
        <w:numPr>
          <w:ilvl w:val="0"/>
          <w:numId w:val="1"/>
        </w:numPr>
        <w:spacing w:after="80"/>
      </w:pPr>
      <w:r>
        <w:rPr>
          <w:b/>
          <w:bCs/>
        </w:rPr>
        <w:t xml:space="preserve">30.79% </w:t>
      </w:r>
      <w:r>
        <w:t xml:space="preserve">of teachers are young enough to remain in the system for the next 30-40 years.</w:t>
      </w:r>
    </w:p>
    <w:p>
      <w:pPr>
        <w:pStyle w:val="ListParagraph"/>
        <w:numPr>
          <w:ilvl w:val="0"/>
          <w:numId w:val="1"/>
        </w:numPr>
        <w:spacing w:after="80"/>
      </w:pPr>
      <w:r>
        <w:rPr>
          <w:b/>
          <w:bCs/>
        </w:rPr>
        <w:t xml:space="preserve">34.49% </w:t>
      </w:r>
      <w:r>
        <w:t xml:space="preserve">will retire in the next 15-25 years and will need to be replaced.</w:t>
      </w:r>
    </w:p>
    <w:p>
      <w:pPr>
        <w:pStyle w:val="ListParagraph"/>
        <w:numPr>
          <w:ilvl w:val="0"/>
          <w:numId w:val="1"/>
        </w:numPr>
        <w:spacing w:after="80"/>
      </w:pPr>
      <w:r>
        <w:rPr>
          <w:b/>
          <w:bCs/>
        </w:rPr>
        <w:t xml:space="preserve">22.7% </w:t>
      </w:r>
      <w:r>
        <w:t xml:space="preserve">will retire in 5-15 years.</w:t>
      </w:r>
    </w:p>
    <w:p>
      <w:pPr>
        <w:pStyle w:val="ListParagraph"/>
        <w:numPr>
          <w:ilvl w:val="0"/>
          <w:numId w:val="1"/>
        </w:numPr>
        <w:spacing w:after="80"/>
      </w:pPr>
      <w:r>
        <w:rPr>
          <w:b/>
          <w:bCs/>
        </w:rPr>
        <w:t xml:space="preserve">5.1% </w:t>
      </w:r>
      <w:r>
        <w:t xml:space="preserve">will retire within the next 5 years.</w:t>
      </w:r>
    </w:p>
    <w:p>
      <w:pPr>
        <w:spacing w:after="240"/>
      </w:pPr>
      <w:r>
        <w:rPr>
          <w:i/>
          <w:iCs/>
          <w:color w:val="595959"/>
          <w:sz w:val="19"/>
          <w:szCs w:val="19"/>
        </w:rPr>
        <w:t xml:space="preserve">Source: CETE research team, based on PLFS 2018/19 data. Note this is an aging-cohort projection from 2018/19 data, not a live 2026 figure — but the underlying replacement dynamic (well over half the workforce turning over within 25 years) still holds directionally. The report also notes overall teacher requirement may fall with demographic shifts, even as demand for ECCE, art/craft, music, and physical-education specialists rises.</w:t>
      </w:r>
    </w:p>
    <w:p>
      <w:pPr>
        <w:pStyle w:val="Heading2"/>
        <w:spacing w:after="150" w:before="300"/>
      </w:pPr>
      <w:r>
        <w:t xml:space="preserve">5.3 Qualifications &amp; Training Gaps</w:t>
      </w:r>
    </w:p>
    <w:p>
      <w:pPr>
        <w:spacing w:after="160"/>
      </w:pPr>
      <w:r>
        <w:t xml:space="preserve">80% of all teachers nationally are graduates and 84% hold professional qualifications (2% are pursuing them). Government and aided schools out-perform private unaided schools on formal qualification: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3200"/>
      </w:tblGrid>
      <w:tr>
        <w:trPr>
          <w:tblHeader/>
        </w:trPr>
        <w:tc>
          <w:tcPr>
            <w:tcW w:type="dxa" w:w="3600"/>
            <w:shd w:fill="13294B" w:val="clear"/>
            <w:tcMar>
              <w:top w:type="dxa" w:w="60"/>
              <w:left w:type="dxa" w:w="100"/>
              <w:bottom w:type="dxa" w:w="60"/>
              <w:right w:type="dxa" w:w="100"/>
            </w:tcMar>
          </w:tcPr>
          <w:p>
            <w:pPr>
              <w:jc w:val="center"/>
            </w:pPr>
            <w:r>
              <w:rPr>
                <w:b/>
                <w:bCs/>
                <w:color w:val="FFFFFF"/>
                <w:sz w:val="19"/>
                <w:szCs w:val="19"/>
              </w:rPr>
              <w:t xml:space="preserve">Management Type</w:t>
            </w:r>
          </w:p>
        </w:tc>
        <w:tc>
          <w:tcPr>
            <w:tcW w:type="dxa" w:w="3200"/>
            <w:shd w:fill="13294B" w:val="clear"/>
            <w:tcMar>
              <w:top w:type="dxa" w:w="60"/>
              <w:left w:type="dxa" w:w="100"/>
              <w:bottom w:type="dxa" w:w="60"/>
              <w:right w:type="dxa" w:w="100"/>
            </w:tcMar>
          </w:tcPr>
          <w:p>
            <w:pPr>
              <w:jc w:val="center"/>
            </w:pPr>
            <w:r>
              <w:rPr>
                <w:b/>
                <w:bCs/>
                <w:color w:val="FFFFFF"/>
                <w:sz w:val="19"/>
                <w:szCs w:val="19"/>
              </w:rPr>
              <w:t xml:space="preserve">% Graduates</w:t>
            </w:r>
          </w:p>
        </w:tc>
        <w:tc>
          <w:tcPr>
            <w:tcW w:type="dxa" w:w="3200"/>
            <w:shd w:fill="13294B" w:val="clear"/>
            <w:tcMar>
              <w:top w:type="dxa" w:w="60"/>
              <w:left w:type="dxa" w:w="100"/>
              <w:bottom w:type="dxa" w:w="60"/>
              <w:right w:type="dxa" w:w="100"/>
            </w:tcMar>
          </w:tcPr>
          <w:p>
            <w:pPr>
              <w:jc w:val="center"/>
            </w:pPr>
            <w:r>
              <w:rPr>
                <w:b/>
                <w:bCs/>
                <w:color w:val="FFFFFF"/>
                <w:sz w:val="19"/>
                <w:szCs w:val="19"/>
              </w:rPr>
              <w:t xml:space="preserve">% Professionally Qualified</w:t>
            </w:r>
          </w:p>
        </w:tc>
      </w:tr>
      <w:tr>
        <w:tc>
          <w:tcPr>
            <w:tcW w:type="dxa" w:w="3600"/>
            <w:tcMar>
              <w:top w:type="dxa" w:w="60"/>
              <w:left w:type="dxa" w:w="100"/>
              <w:bottom w:type="dxa" w:w="60"/>
              <w:right w:type="dxa" w:w="100"/>
            </w:tcMar>
          </w:tcPr>
          <w:p>
            <w:pPr>
              <w:jc w:val="left"/>
            </w:pPr>
            <w:r>
              <w:rPr>
                <w:b w:val="false"/>
                <w:bCs w:val="false"/>
                <w:sz w:val="19"/>
                <w:szCs w:val="19"/>
              </w:rPr>
              <w:t xml:space="preserve">Government</w:t>
            </w:r>
          </w:p>
        </w:tc>
        <w:tc>
          <w:tcPr>
            <w:tcW w:type="dxa" w:w="3200"/>
            <w:tcMar>
              <w:top w:type="dxa" w:w="60"/>
              <w:left w:type="dxa" w:w="100"/>
              <w:bottom w:type="dxa" w:w="60"/>
              <w:right w:type="dxa" w:w="100"/>
            </w:tcMar>
          </w:tcPr>
          <w:p>
            <w:pPr>
              <w:jc w:val="center"/>
            </w:pPr>
            <w:r>
              <w:rPr>
                <w:b w:val="false"/>
                <w:bCs w:val="false"/>
                <w:sz w:val="19"/>
                <w:szCs w:val="19"/>
              </w:rPr>
              <w:t xml:space="preserve">76%</w:t>
            </w:r>
          </w:p>
        </w:tc>
        <w:tc>
          <w:tcPr>
            <w:tcW w:type="dxa" w:w="3200"/>
            <w:tcMar>
              <w:top w:type="dxa" w:w="60"/>
              <w:left w:type="dxa" w:w="100"/>
              <w:bottom w:type="dxa" w:w="60"/>
              <w:right w:type="dxa" w:w="100"/>
            </w:tcMar>
          </w:tcPr>
          <w:p>
            <w:pPr>
              <w:jc w:val="center"/>
            </w:pPr>
            <w:r>
              <w:rPr>
                <w:b w:val="false"/>
                <w:bCs w:val="false"/>
                <w:sz w:val="19"/>
                <w:szCs w:val="19"/>
              </w:rPr>
              <w:t xml:space="preserve">90%</w:t>
            </w:r>
          </w:p>
        </w:tc>
      </w:tr>
      <w:tr>
        <w:tc>
          <w:tcPr>
            <w:tcW w:type="dxa" w:w="3600"/>
            <w:shd w:fill="F2F2F2" w:val="clear"/>
            <w:tcMar>
              <w:top w:type="dxa" w:w="60"/>
              <w:left w:type="dxa" w:w="100"/>
              <w:bottom w:type="dxa" w:w="60"/>
              <w:right w:type="dxa" w:w="100"/>
            </w:tcMar>
          </w:tcPr>
          <w:p>
            <w:pPr>
              <w:jc w:val="left"/>
            </w:pPr>
            <w:r>
              <w:rPr>
                <w:b w:val="false"/>
                <w:bCs w:val="false"/>
                <w:sz w:val="19"/>
                <w:szCs w:val="19"/>
              </w:rPr>
              <w:t xml:space="preserve">Government-aided</w:t>
            </w:r>
          </w:p>
        </w:tc>
        <w:tc>
          <w:tcPr>
            <w:tcW w:type="dxa" w:w="3200"/>
            <w:shd w:fill="F2F2F2" w:val="clear"/>
            <w:tcMar>
              <w:top w:type="dxa" w:w="60"/>
              <w:left w:type="dxa" w:w="100"/>
              <w:bottom w:type="dxa" w:w="60"/>
              <w:right w:type="dxa" w:w="100"/>
            </w:tcMar>
          </w:tcPr>
          <w:p>
            <w:pPr>
              <w:jc w:val="center"/>
            </w:pPr>
            <w:r>
              <w:rPr>
                <w:b w:val="false"/>
                <w:bCs w:val="false"/>
                <w:sz w:val="19"/>
                <w:szCs w:val="19"/>
              </w:rPr>
              <w:t xml:space="preserve">79%</w:t>
            </w:r>
          </w:p>
        </w:tc>
        <w:tc>
          <w:tcPr>
            <w:tcW w:type="dxa" w:w="3200"/>
            <w:shd w:fill="F2F2F2" w:val="clear"/>
            <w:tcMar>
              <w:top w:type="dxa" w:w="60"/>
              <w:left w:type="dxa" w:w="100"/>
              <w:bottom w:type="dxa" w:w="60"/>
              <w:right w:type="dxa" w:w="100"/>
            </w:tcMar>
          </w:tcPr>
          <w:p>
            <w:pPr>
              <w:jc w:val="center"/>
            </w:pPr>
            <w:r>
              <w:rPr>
                <w:b w:val="false"/>
                <w:bCs w:val="false"/>
                <w:sz w:val="19"/>
                <w:szCs w:val="19"/>
              </w:rPr>
              <w:t xml:space="preserve">93%</w:t>
            </w:r>
          </w:p>
        </w:tc>
      </w:tr>
      <w:tr>
        <w:tc>
          <w:tcPr>
            <w:tcW w:type="dxa" w:w="3600"/>
            <w:tcMar>
              <w:top w:type="dxa" w:w="60"/>
              <w:left w:type="dxa" w:w="100"/>
              <w:bottom w:type="dxa" w:w="60"/>
              <w:right w:type="dxa" w:w="100"/>
            </w:tcMar>
          </w:tcPr>
          <w:p>
            <w:pPr>
              <w:jc w:val="left"/>
            </w:pPr>
            <w:r>
              <w:rPr>
                <w:b w:val="false"/>
                <w:bCs w:val="false"/>
                <w:sz w:val="19"/>
                <w:szCs w:val="19"/>
              </w:rPr>
              <w:t xml:space="preserve">Private unaided</w:t>
            </w:r>
          </w:p>
        </w:tc>
        <w:tc>
          <w:tcPr>
            <w:tcW w:type="dxa" w:w="3200"/>
            <w:tcMar>
              <w:top w:type="dxa" w:w="60"/>
              <w:left w:type="dxa" w:w="100"/>
              <w:bottom w:type="dxa" w:w="60"/>
              <w:right w:type="dxa" w:w="100"/>
            </w:tcMar>
          </w:tcPr>
          <w:p>
            <w:pPr>
              <w:jc w:val="center"/>
            </w:pPr>
            <w:r>
              <w:rPr>
                <w:b w:val="false"/>
                <w:bCs w:val="false"/>
                <w:sz w:val="19"/>
                <w:szCs w:val="19"/>
              </w:rPr>
              <w:t xml:space="preserve">86%</w:t>
            </w:r>
          </w:p>
        </w:tc>
        <w:tc>
          <w:tcPr>
            <w:tcW w:type="dxa" w:w="3200"/>
            <w:tcMar>
              <w:top w:type="dxa" w:w="60"/>
              <w:left w:type="dxa" w:w="100"/>
              <w:bottom w:type="dxa" w:w="60"/>
              <w:right w:type="dxa" w:w="100"/>
            </w:tcMar>
          </w:tcPr>
          <w:p>
            <w:pPr>
              <w:jc w:val="center"/>
            </w:pPr>
            <w:r>
              <w:rPr>
                <w:b w:val="false"/>
                <w:bCs w:val="false"/>
                <w:sz w:val="19"/>
                <w:szCs w:val="19"/>
              </w:rPr>
              <w:t xml:space="preserve">77%</w:t>
            </w:r>
          </w:p>
        </w:tc>
      </w:tr>
    </w:tbl>
    <w:p>
      <w:pPr>
        <w:spacing w:after="160"/>
      </w:pPr>
      <w:r>
        <w:t xml:space="preserve">Underqualification is most concentrated in private unaided schools — ranging from 41% (primary) to about 61% (senior secondary) — followed by government schools at up to 35.78% (primary) and 17.25% (upper primary). Madrasa, private unaided, and unrecognised schools account for most underqualified teachers nationally. UNESCO's 2021 report separately puts underqualified staffing at 7.7% (pre-primary), 4.6% (primary), and 3.3% (upper-primary).</w:t>
      </w:r>
    </w:p>
    <w:p>
      <w:pPr>
        <w:spacing w:after="160"/>
      </w:pPr>
      <w:r>
        <w:t xml:space="preserve">Training gaps mirror this: 11.3% of primary teachers, 11.4% of upper-primary teachers, 7.8% of secondary teachers, and 8.2% of higher-secondary teachers report no training (U-DISE Flash Statistics, 2017-18) — with a notable spike among female secondary teachers (23% untrained).</w:t>
      </w:r>
    </w:p>
    <w:p>
      <w:pPr>
        <w:spacing w:after="240"/>
      </w:pPr>
      <w:r>
        <w:rPr>
          <w:i/>
          <w:iCs/>
          <w:color w:val="595959"/>
          <w:sz w:val="19"/>
          <w:szCs w:val="19"/>
        </w:rPr>
        <w:t xml:space="preserve">Implication: qualification and training gaps concentrate precisely in the private-unaided and low-fee segment Path-shaala is targeting first — validating the 'assessment + upskilling', not just 'listings', part of the value proposition.</w:t>
      </w:r>
    </w:p>
    <w:p>
      <w:pPr>
        <w:pStyle w:val="Heading2"/>
        <w:spacing w:after="150" w:before="300"/>
      </w:pPr>
      <w:r>
        <w:t xml:space="preserve">5.4 Contract Type &amp; Job Security</w:t>
      </w:r>
    </w:p>
    <w:p>
      <w:pPr>
        <w:spacing w:after="160"/>
      </w:pPr>
      <w:r>
        <w:t xml:space="preserve">Reliance on informal, contract-based employment is widespread and is a direct driver of turnover:</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00"/>
        <w:gridCol w:w="2100"/>
      </w:tblGrid>
      <w:tr>
        <w:trPr>
          <w:tblHeader/>
        </w:trPr>
        <w:tc>
          <w:tcPr>
            <w:tcW w:type="dxa" w:w="3000"/>
            <w:shd w:fill="13294B" w:val="clear"/>
            <w:tcMar>
              <w:top w:type="dxa" w:w="60"/>
              <w:left w:type="dxa" w:w="100"/>
              <w:bottom w:type="dxa" w:w="60"/>
              <w:right w:type="dxa" w:w="100"/>
            </w:tcMar>
          </w:tcPr>
          <w:p>
            <w:pPr>
              <w:jc w:val="center"/>
            </w:pPr>
            <w:r>
              <w:rPr>
                <w:b/>
                <w:bCs/>
                <w:color w:val="FFFFFF"/>
                <w:sz w:val="19"/>
                <w:szCs w:val="19"/>
              </w:rPr>
              <w:t xml:space="preserve">Contract Type</w:t>
            </w:r>
          </w:p>
        </w:tc>
        <w:tc>
          <w:tcPr>
            <w:tcW w:type="dxa" w:w="2200"/>
            <w:shd w:fill="13294B" w:val="clear"/>
            <w:tcMar>
              <w:top w:type="dxa" w:w="60"/>
              <w:left w:type="dxa" w:w="100"/>
              <w:bottom w:type="dxa" w:w="60"/>
              <w:right w:type="dxa" w:w="100"/>
            </w:tcMar>
          </w:tcPr>
          <w:p>
            <w:pPr>
              <w:jc w:val="center"/>
            </w:pPr>
            <w:r>
              <w:rPr>
                <w:b/>
                <w:bCs/>
                <w:color w:val="FFFFFF"/>
                <w:sz w:val="19"/>
                <w:szCs w:val="19"/>
              </w:rPr>
              <w:t xml:space="preserve">All Teachers</w:t>
            </w:r>
          </w:p>
        </w:tc>
        <w:tc>
          <w:tcPr>
            <w:tcW w:type="dxa" w:w="2200"/>
            <w:shd w:fill="13294B" w:val="clear"/>
            <w:tcMar>
              <w:top w:type="dxa" w:w="60"/>
              <w:left w:type="dxa" w:w="100"/>
              <w:bottom w:type="dxa" w:w="60"/>
              <w:right w:type="dxa" w:w="100"/>
            </w:tcMar>
          </w:tcPr>
          <w:p>
            <w:pPr>
              <w:jc w:val="center"/>
            </w:pPr>
            <w:r>
              <w:rPr>
                <w:b/>
                <w:bCs/>
                <w:color w:val="FFFFFF"/>
                <w:sz w:val="19"/>
                <w:szCs w:val="19"/>
              </w:rPr>
              <w:t xml:space="preserve">Primary</w:t>
            </w:r>
          </w:p>
        </w:tc>
        <w:tc>
          <w:tcPr>
            <w:tcW w:type="dxa" w:w="1900"/>
            <w:shd w:fill="13294B" w:val="clear"/>
            <w:tcMar>
              <w:top w:type="dxa" w:w="60"/>
              <w:left w:type="dxa" w:w="100"/>
              <w:bottom w:type="dxa" w:w="60"/>
              <w:right w:type="dxa" w:w="100"/>
            </w:tcMar>
          </w:tcPr>
          <w:p>
            <w:pPr>
              <w:jc w:val="center"/>
            </w:pPr>
            <w:r>
              <w:rPr>
                <w:b/>
                <w:bCs/>
                <w:color w:val="FFFFFF"/>
                <w:sz w:val="19"/>
                <w:szCs w:val="19"/>
              </w:rPr>
              <w:t xml:space="preserve">General Secondary</w:t>
            </w:r>
          </w:p>
        </w:tc>
        <w:tc>
          <w:tcPr>
            <w:tcW w:type="dxa" w:w="2100"/>
            <w:shd w:fill="13294B" w:val="clear"/>
            <w:tcMar>
              <w:top w:type="dxa" w:w="60"/>
              <w:left w:type="dxa" w:w="100"/>
              <w:bottom w:type="dxa" w:w="60"/>
              <w:right w:type="dxa" w:w="100"/>
            </w:tcMar>
          </w:tcPr>
          <w:p>
            <w:pPr>
              <w:jc w:val="center"/>
            </w:pPr>
            <w:r>
              <w:rPr>
                <w:b/>
                <w:bCs/>
                <w:color w:val="FFFFFF"/>
                <w:sz w:val="19"/>
                <w:szCs w:val="19"/>
              </w:rPr>
              <w:t xml:space="preserve">Special Education</w:t>
            </w:r>
          </w:p>
        </w:tc>
      </w:tr>
      <w:tr>
        <w:tc>
          <w:tcPr>
            <w:tcW w:type="dxa" w:w="3000"/>
            <w:tcMar>
              <w:top w:type="dxa" w:w="60"/>
              <w:left w:type="dxa" w:w="100"/>
              <w:bottom w:type="dxa" w:w="60"/>
              <w:right w:type="dxa" w:w="100"/>
            </w:tcMar>
          </w:tcPr>
          <w:p>
            <w:pPr>
              <w:jc w:val="left"/>
            </w:pPr>
            <w:r>
              <w:rPr>
                <w:b w:val="false"/>
                <w:bCs w:val="false"/>
                <w:sz w:val="19"/>
                <w:szCs w:val="19"/>
              </w:rPr>
              <w:t xml:space="preserve">No job contract</w:t>
            </w:r>
          </w:p>
        </w:tc>
        <w:tc>
          <w:tcPr>
            <w:tcW w:type="dxa" w:w="2200"/>
            <w:tcMar>
              <w:top w:type="dxa" w:w="60"/>
              <w:left w:type="dxa" w:w="100"/>
              <w:bottom w:type="dxa" w:w="60"/>
              <w:right w:type="dxa" w:w="100"/>
            </w:tcMar>
          </w:tcPr>
          <w:p>
            <w:pPr>
              <w:jc w:val="center"/>
            </w:pPr>
            <w:r>
              <w:rPr>
                <w:b w:val="false"/>
                <w:bCs w:val="false"/>
                <w:sz w:val="19"/>
                <w:szCs w:val="19"/>
              </w:rPr>
              <w:t xml:space="preserve">43%</w:t>
            </w:r>
          </w:p>
        </w:tc>
        <w:tc>
          <w:tcPr>
            <w:tcW w:type="dxa" w:w="2200"/>
            <w:tcMar>
              <w:top w:type="dxa" w:w="60"/>
              <w:left w:type="dxa" w:w="100"/>
              <w:bottom w:type="dxa" w:w="60"/>
              <w:right w:type="dxa" w:w="100"/>
            </w:tcMar>
          </w:tcPr>
          <w:p>
            <w:pPr>
              <w:jc w:val="center"/>
            </w:pPr>
            <w:r>
              <w:rPr>
                <w:b w:val="false"/>
                <w:bCs w:val="false"/>
                <w:sz w:val="19"/>
                <w:szCs w:val="19"/>
              </w:rPr>
              <w:t xml:space="preserve">44%</w:t>
            </w:r>
          </w:p>
        </w:tc>
        <w:tc>
          <w:tcPr>
            <w:tcW w:type="dxa" w:w="1900"/>
            <w:tcMar>
              <w:top w:type="dxa" w:w="60"/>
              <w:left w:type="dxa" w:w="100"/>
              <w:bottom w:type="dxa" w:w="60"/>
              <w:right w:type="dxa" w:w="100"/>
            </w:tcMar>
          </w:tcPr>
          <w:p>
            <w:pPr>
              <w:jc w:val="center"/>
            </w:pPr>
            <w:r>
              <w:rPr>
                <w:b w:val="false"/>
                <w:bCs w:val="false"/>
                <w:sz w:val="19"/>
                <w:szCs w:val="19"/>
              </w:rPr>
              <w:t xml:space="preserve">43%</w:t>
            </w:r>
          </w:p>
        </w:tc>
        <w:tc>
          <w:tcPr>
            <w:tcW w:type="dxa" w:w="2100"/>
            <w:tcMar>
              <w:top w:type="dxa" w:w="60"/>
              <w:left w:type="dxa" w:w="100"/>
              <w:bottom w:type="dxa" w:w="60"/>
              <w:right w:type="dxa" w:w="100"/>
            </w:tcMar>
          </w:tcPr>
          <w:p>
            <w:pPr>
              <w:jc w:val="center"/>
            </w:pPr>
            <w:r>
              <w:rPr>
                <w:b w:val="false"/>
                <w:bCs w:val="false"/>
                <w:sz w:val="19"/>
                <w:szCs w:val="19"/>
              </w:rPr>
              <w:t xml:space="preserve">77%</w:t>
            </w:r>
          </w:p>
        </w:tc>
      </w:tr>
      <w:tr>
        <w:tc>
          <w:tcPr>
            <w:tcW w:type="dxa" w:w="3000"/>
            <w:shd w:fill="F2F2F2" w:val="clear"/>
            <w:tcMar>
              <w:top w:type="dxa" w:w="60"/>
              <w:left w:type="dxa" w:w="100"/>
              <w:bottom w:type="dxa" w:w="60"/>
              <w:right w:type="dxa" w:w="100"/>
            </w:tcMar>
          </w:tcPr>
          <w:p>
            <w:pPr>
              <w:jc w:val="left"/>
            </w:pPr>
            <w:r>
              <w:rPr>
                <w:b w:val="false"/>
                <w:bCs w:val="false"/>
                <w:sz w:val="19"/>
                <w:szCs w:val="19"/>
              </w:rPr>
              <w:t xml:space="preserve">1-year contract</w:t>
            </w:r>
          </w:p>
        </w:tc>
        <w:tc>
          <w:tcPr>
            <w:tcW w:type="dxa" w:w="2200"/>
            <w:shd w:fill="F2F2F2" w:val="clear"/>
            <w:tcMar>
              <w:top w:type="dxa" w:w="60"/>
              <w:left w:type="dxa" w:w="100"/>
              <w:bottom w:type="dxa" w:w="60"/>
              <w:right w:type="dxa" w:w="100"/>
            </w:tcMar>
          </w:tcPr>
          <w:p>
            <w:pPr>
              <w:jc w:val="center"/>
            </w:pPr>
            <w:r>
              <w:rPr>
                <w:b w:val="false"/>
                <w:bCs w:val="false"/>
                <w:sz w:val="19"/>
                <w:szCs w:val="19"/>
              </w:rPr>
              <w:t xml:space="preserve">5%</w:t>
            </w:r>
          </w:p>
        </w:tc>
        <w:tc>
          <w:tcPr>
            <w:tcW w:type="dxa" w:w="2200"/>
            <w:shd w:fill="F2F2F2" w:val="clear"/>
            <w:tcMar>
              <w:top w:type="dxa" w:w="60"/>
              <w:left w:type="dxa" w:w="100"/>
              <w:bottom w:type="dxa" w:w="60"/>
              <w:right w:type="dxa" w:w="100"/>
            </w:tcMar>
          </w:tcPr>
          <w:p>
            <w:pPr>
              <w:jc w:val="center"/>
            </w:pPr>
            <w:r>
              <w:rPr>
                <w:b w:val="false"/>
                <w:bCs w:val="false"/>
                <w:sz w:val="19"/>
                <w:szCs w:val="19"/>
              </w:rPr>
              <w:t xml:space="preserve">4%</w:t>
            </w:r>
          </w:p>
        </w:tc>
        <w:tc>
          <w:tcPr>
            <w:tcW w:type="dxa" w:w="1900"/>
            <w:shd w:fill="F2F2F2" w:val="clear"/>
            <w:tcMar>
              <w:top w:type="dxa" w:w="60"/>
              <w:left w:type="dxa" w:w="100"/>
              <w:bottom w:type="dxa" w:w="60"/>
              <w:right w:type="dxa" w:w="100"/>
            </w:tcMar>
          </w:tcPr>
          <w:p>
            <w:pPr>
              <w:jc w:val="center"/>
            </w:pPr>
            <w:r>
              <w:rPr>
                <w:b w:val="false"/>
                <w:bCs w:val="false"/>
                <w:sz w:val="19"/>
                <w:szCs w:val="19"/>
              </w:rPr>
              <w:t xml:space="preserve">6%</w:t>
            </w:r>
          </w:p>
        </w:tc>
        <w:tc>
          <w:tcPr>
            <w:tcW w:type="dxa" w:w="2100"/>
            <w:shd w:fill="F2F2F2" w:val="clear"/>
            <w:tcMar>
              <w:top w:type="dxa" w:w="60"/>
              <w:left w:type="dxa" w:w="100"/>
              <w:bottom w:type="dxa" w:w="60"/>
              <w:right w:type="dxa" w:w="100"/>
            </w:tcMar>
          </w:tcPr>
          <w:p>
            <w:pPr>
              <w:jc w:val="center"/>
            </w:pPr>
            <w:r>
              <w:rPr>
                <w:b w:val="false"/>
                <w:bCs w:val="false"/>
                <w:sz w:val="19"/>
                <w:szCs w:val="19"/>
              </w:rPr>
              <w:t xml:space="preserve">4%</w:t>
            </w:r>
          </w:p>
        </w:tc>
      </w:tr>
      <w:tr>
        <w:tc>
          <w:tcPr>
            <w:tcW w:type="dxa" w:w="3000"/>
            <w:tcMar>
              <w:top w:type="dxa" w:w="60"/>
              <w:left w:type="dxa" w:w="100"/>
              <w:bottom w:type="dxa" w:w="60"/>
              <w:right w:type="dxa" w:w="100"/>
            </w:tcMar>
          </w:tcPr>
          <w:p>
            <w:pPr>
              <w:jc w:val="left"/>
            </w:pPr>
            <w:r>
              <w:rPr>
                <w:b w:val="false"/>
                <w:bCs w:val="false"/>
                <w:sz w:val="19"/>
                <w:szCs w:val="19"/>
              </w:rPr>
              <w:t xml:space="preserve">1-3 year contract</w:t>
            </w:r>
          </w:p>
        </w:tc>
        <w:tc>
          <w:tcPr>
            <w:tcW w:type="dxa" w:w="2200"/>
            <w:tcMar>
              <w:top w:type="dxa" w:w="60"/>
              <w:left w:type="dxa" w:w="100"/>
              <w:bottom w:type="dxa" w:w="60"/>
              <w:right w:type="dxa" w:w="100"/>
            </w:tcMar>
          </w:tcPr>
          <w:p>
            <w:pPr>
              <w:jc w:val="center"/>
            </w:pPr>
            <w:r>
              <w:rPr>
                <w:b w:val="false"/>
                <w:bCs w:val="false"/>
                <w:sz w:val="19"/>
                <w:szCs w:val="19"/>
              </w:rPr>
              <w:t xml:space="preserve">4%</w:t>
            </w:r>
          </w:p>
        </w:tc>
        <w:tc>
          <w:tcPr>
            <w:tcW w:type="dxa" w:w="2200"/>
            <w:tcMar>
              <w:top w:type="dxa" w:w="60"/>
              <w:left w:type="dxa" w:w="100"/>
              <w:bottom w:type="dxa" w:w="60"/>
              <w:right w:type="dxa" w:w="100"/>
            </w:tcMar>
          </w:tcPr>
          <w:p>
            <w:pPr>
              <w:jc w:val="center"/>
            </w:pPr>
            <w:r>
              <w:rPr>
                <w:b w:val="false"/>
                <w:bCs w:val="false"/>
                <w:sz w:val="19"/>
                <w:szCs w:val="19"/>
              </w:rPr>
              <w:t xml:space="preserve">3%</w:t>
            </w:r>
          </w:p>
        </w:tc>
        <w:tc>
          <w:tcPr>
            <w:tcW w:type="dxa" w:w="1900"/>
            <w:tcMar>
              <w:top w:type="dxa" w:w="60"/>
              <w:left w:type="dxa" w:w="100"/>
              <w:bottom w:type="dxa" w:w="60"/>
              <w:right w:type="dxa" w:w="100"/>
            </w:tcMar>
          </w:tcPr>
          <w:p>
            <w:pPr>
              <w:jc w:val="center"/>
            </w:pPr>
            <w:r>
              <w:rPr>
                <w:b w:val="false"/>
                <w:bCs w:val="false"/>
                <w:sz w:val="19"/>
                <w:szCs w:val="19"/>
              </w:rPr>
              <w:t xml:space="preserve">4%</w:t>
            </w:r>
          </w:p>
        </w:tc>
        <w:tc>
          <w:tcPr>
            <w:tcW w:type="dxa" w:w="2100"/>
            <w:tcMar>
              <w:top w:type="dxa" w:w="60"/>
              <w:left w:type="dxa" w:w="100"/>
              <w:bottom w:type="dxa" w:w="60"/>
              <w:right w:type="dxa" w:w="100"/>
            </w:tcMar>
          </w:tcPr>
          <w:p>
            <w:pPr>
              <w:jc w:val="center"/>
            </w:pPr>
            <w:r>
              <w:rPr>
                <w:b w:val="false"/>
                <w:bCs w:val="false"/>
                <w:sz w:val="19"/>
                <w:szCs w:val="19"/>
              </w:rPr>
              <w:t xml:space="preserve">0%</w:t>
            </w:r>
          </w:p>
        </w:tc>
      </w:tr>
      <w:tr>
        <w:tc>
          <w:tcPr>
            <w:tcW w:type="dxa" w:w="3000"/>
            <w:shd w:fill="F2F2F2" w:val="clear"/>
            <w:tcMar>
              <w:top w:type="dxa" w:w="60"/>
              <w:left w:type="dxa" w:w="100"/>
              <w:bottom w:type="dxa" w:w="60"/>
              <w:right w:type="dxa" w:w="100"/>
            </w:tcMar>
          </w:tcPr>
          <w:p>
            <w:pPr>
              <w:jc w:val="left"/>
            </w:pPr>
            <w:r>
              <w:rPr>
                <w:b w:val="false"/>
                <w:bCs w:val="false"/>
                <w:sz w:val="19"/>
                <w:szCs w:val="19"/>
              </w:rPr>
              <w:t xml:space="preserve">&gt;3 year contract</w:t>
            </w:r>
          </w:p>
        </w:tc>
        <w:tc>
          <w:tcPr>
            <w:tcW w:type="dxa" w:w="2200"/>
            <w:shd w:fill="F2F2F2" w:val="clear"/>
            <w:tcMar>
              <w:top w:type="dxa" w:w="60"/>
              <w:left w:type="dxa" w:w="100"/>
              <w:bottom w:type="dxa" w:w="60"/>
              <w:right w:type="dxa" w:w="100"/>
            </w:tcMar>
          </w:tcPr>
          <w:p>
            <w:pPr>
              <w:jc w:val="center"/>
            </w:pPr>
            <w:r>
              <w:rPr>
                <w:b w:val="false"/>
                <w:bCs w:val="false"/>
                <w:sz w:val="19"/>
                <w:szCs w:val="19"/>
              </w:rPr>
              <w:t xml:space="preserve">47%</w:t>
            </w:r>
          </w:p>
        </w:tc>
        <w:tc>
          <w:tcPr>
            <w:tcW w:type="dxa" w:w="2200"/>
            <w:shd w:fill="F2F2F2" w:val="clear"/>
            <w:tcMar>
              <w:top w:type="dxa" w:w="60"/>
              <w:left w:type="dxa" w:w="100"/>
              <w:bottom w:type="dxa" w:w="60"/>
              <w:right w:type="dxa" w:w="100"/>
            </w:tcMar>
          </w:tcPr>
          <w:p>
            <w:pPr>
              <w:jc w:val="center"/>
            </w:pPr>
            <w:r>
              <w:rPr>
                <w:b w:val="false"/>
                <w:bCs w:val="false"/>
                <w:sz w:val="19"/>
                <w:szCs w:val="19"/>
              </w:rPr>
              <w:t xml:space="preserve">48%</w:t>
            </w:r>
          </w:p>
        </w:tc>
        <w:tc>
          <w:tcPr>
            <w:tcW w:type="dxa" w:w="1900"/>
            <w:shd w:fill="F2F2F2" w:val="clear"/>
            <w:tcMar>
              <w:top w:type="dxa" w:w="60"/>
              <w:left w:type="dxa" w:w="100"/>
              <w:bottom w:type="dxa" w:w="60"/>
              <w:right w:type="dxa" w:w="100"/>
            </w:tcMar>
          </w:tcPr>
          <w:p>
            <w:pPr>
              <w:jc w:val="center"/>
            </w:pPr>
            <w:r>
              <w:rPr>
                <w:b w:val="false"/>
                <w:bCs w:val="false"/>
                <w:sz w:val="19"/>
                <w:szCs w:val="19"/>
              </w:rPr>
              <w:t xml:space="preserve">47%</w:t>
            </w:r>
          </w:p>
        </w:tc>
        <w:tc>
          <w:tcPr>
            <w:tcW w:type="dxa" w:w="2100"/>
            <w:shd w:fill="F2F2F2" w:val="clear"/>
            <w:tcMar>
              <w:top w:type="dxa" w:w="60"/>
              <w:left w:type="dxa" w:w="100"/>
              <w:bottom w:type="dxa" w:w="60"/>
              <w:right w:type="dxa" w:w="100"/>
            </w:tcMar>
          </w:tcPr>
          <w:p>
            <w:pPr>
              <w:jc w:val="center"/>
            </w:pPr>
            <w:r>
              <w:rPr>
                <w:b w:val="false"/>
                <w:bCs w:val="false"/>
                <w:sz w:val="19"/>
                <w:szCs w:val="19"/>
              </w:rPr>
              <w:t xml:space="preserve">19%</w:t>
            </w:r>
          </w:p>
        </w:tc>
      </w:tr>
    </w:tbl>
    <w:p>
      <w:pPr>
        <w:spacing w:after="240"/>
      </w:pPr>
      <w:r>
        <w:rPr>
          <w:i/>
          <w:iCs/>
          <w:color w:val="595959"/>
          <w:sz w:val="19"/>
          <w:szCs w:val="19"/>
        </w:rPr>
        <w:t xml:space="preserve">Source: CETE research team, based on UDISE 2018/19 and PLFS 2018/19. Special education teachers are the most precarious segment, with 77% holding no formal job contract at all.</w:t>
      </w:r>
    </w:p>
    <w:p>
      <w:pPr>
        <w:spacing w:after="160"/>
      </w:pPr>
      <w:r>
        <w:t xml:space="preserve">Pay scales directly with contract security. Teachers with no contract average ₹16,656/month nationally versus ₹28,323/month for those on contracts longer than three years — a near 70% pay gap tied purely to job security, not necessarily skill.</w:t>
      </w:r>
    </w:p>
    <w:p>
      <w:pPr>
        <w:pStyle w:val="Heading2"/>
        <w:spacing w:after="150" w:before="300"/>
      </w:pPr>
      <w:r>
        <w:t xml:space="preserve">5.5 Compensation Benchmarks: Government vs. Private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200"/>
        <w:gridCol w:w="2900"/>
        <w:gridCol w:w="2900"/>
      </w:tblGrid>
      <w:tr>
        <w:trPr>
          <w:tblHeader/>
        </w:trPr>
        <w:tc>
          <w:tcPr>
            <w:tcW w:type="dxa" w:w="4200"/>
            <w:shd w:fill="13294B" w:val="clear"/>
            <w:tcMar>
              <w:top w:type="dxa" w:w="60"/>
              <w:left w:type="dxa" w:w="100"/>
              <w:bottom w:type="dxa" w:w="60"/>
              <w:right w:type="dxa" w:w="100"/>
            </w:tcMar>
          </w:tcPr>
          <w:p>
            <w:pPr>
              <w:jc w:val="center"/>
            </w:pPr>
            <w:r>
              <w:rPr>
                <w:b/>
                <w:bCs/>
                <w:color w:val="FFFFFF"/>
                <w:sz w:val="19"/>
                <w:szCs w:val="19"/>
              </w:rPr>
              <w:t xml:space="preserve">School Level</w:t>
            </w:r>
          </w:p>
        </w:tc>
        <w:tc>
          <w:tcPr>
            <w:tcW w:type="dxa" w:w="2900"/>
            <w:shd w:fill="13294B" w:val="clear"/>
            <w:tcMar>
              <w:top w:type="dxa" w:w="60"/>
              <w:left w:type="dxa" w:w="100"/>
              <w:bottom w:type="dxa" w:w="60"/>
              <w:right w:type="dxa" w:w="100"/>
            </w:tcMar>
          </w:tcPr>
          <w:p>
            <w:pPr>
              <w:jc w:val="center"/>
            </w:pPr>
            <w:r>
              <w:rPr>
                <w:b/>
                <w:bCs/>
                <w:color w:val="FFFFFF"/>
                <w:sz w:val="19"/>
                <w:szCs w:val="19"/>
              </w:rPr>
              <w:t xml:space="preserve">Government (₹/month)</w:t>
            </w:r>
          </w:p>
        </w:tc>
        <w:tc>
          <w:tcPr>
            <w:tcW w:type="dxa" w:w="2900"/>
            <w:shd w:fill="13294B" w:val="clear"/>
            <w:tcMar>
              <w:top w:type="dxa" w:w="60"/>
              <w:left w:type="dxa" w:w="100"/>
              <w:bottom w:type="dxa" w:w="60"/>
              <w:right w:type="dxa" w:w="100"/>
            </w:tcMar>
          </w:tcPr>
          <w:p>
            <w:pPr>
              <w:jc w:val="center"/>
            </w:pPr>
            <w:r>
              <w:rPr>
                <w:b/>
                <w:bCs/>
                <w:color w:val="FFFFFF"/>
                <w:sz w:val="19"/>
                <w:szCs w:val="19"/>
              </w:rPr>
              <w:t xml:space="preserve">Private (₹/month)</w:t>
            </w:r>
          </w:p>
        </w:tc>
      </w:tr>
      <w:tr>
        <w:tc>
          <w:tcPr>
            <w:tcW w:type="dxa" w:w="4200"/>
            <w:tcMar>
              <w:top w:type="dxa" w:w="60"/>
              <w:left w:type="dxa" w:w="100"/>
              <w:bottom w:type="dxa" w:w="60"/>
              <w:right w:type="dxa" w:w="100"/>
            </w:tcMar>
          </w:tcPr>
          <w:p>
            <w:pPr>
              <w:jc w:val="left"/>
            </w:pPr>
            <w:r>
              <w:rPr>
                <w:b w:val="false"/>
                <w:bCs w:val="false"/>
                <w:sz w:val="19"/>
                <w:szCs w:val="19"/>
              </w:rPr>
              <w:t xml:space="preserve">Primary school</w:t>
            </w:r>
          </w:p>
        </w:tc>
        <w:tc>
          <w:tcPr>
            <w:tcW w:type="dxa" w:w="2900"/>
            <w:tcMar>
              <w:top w:type="dxa" w:w="60"/>
              <w:left w:type="dxa" w:w="100"/>
              <w:bottom w:type="dxa" w:w="60"/>
              <w:right w:type="dxa" w:w="100"/>
            </w:tcMar>
          </w:tcPr>
          <w:p>
            <w:pPr>
              <w:jc w:val="center"/>
            </w:pPr>
            <w:r>
              <w:rPr>
                <w:b w:val="false"/>
                <w:bCs w:val="false"/>
                <w:sz w:val="19"/>
                <w:szCs w:val="19"/>
              </w:rPr>
              <w:t xml:space="preserve">27,958</w:t>
            </w:r>
          </w:p>
        </w:tc>
        <w:tc>
          <w:tcPr>
            <w:tcW w:type="dxa" w:w="2900"/>
            <w:tcMar>
              <w:top w:type="dxa" w:w="60"/>
              <w:left w:type="dxa" w:w="100"/>
              <w:bottom w:type="dxa" w:w="60"/>
              <w:right w:type="dxa" w:w="100"/>
            </w:tcMar>
          </w:tcPr>
          <w:p>
            <w:pPr>
              <w:jc w:val="center"/>
            </w:pPr>
            <w:r>
              <w:rPr>
                <w:b w:val="false"/>
                <w:bCs w:val="false"/>
                <w:sz w:val="19"/>
                <w:szCs w:val="19"/>
              </w:rPr>
              <w:t xml:space="preserve">11,257</w:t>
            </w:r>
          </w:p>
        </w:tc>
      </w:tr>
      <w:tr>
        <w:tc>
          <w:tcPr>
            <w:tcW w:type="dxa" w:w="4200"/>
            <w:shd w:fill="F2F2F2" w:val="clear"/>
            <w:tcMar>
              <w:top w:type="dxa" w:w="60"/>
              <w:left w:type="dxa" w:w="100"/>
              <w:bottom w:type="dxa" w:w="60"/>
              <w:right w:type="dxa" w:w="100"/>
            </w:tcMar>
          </w:tcPr>
          <w:p>
            <w:pPr>
              <w:jc w:val="left"/>
            </w:pPr>
            <w:r>
              <w:rPr>
                <w:b w:val="false"/>
                <w:bCs w:val="false"/>
                <w:sz w:val="19"/>
                <w:szCs w:val="19"/>
              </w:rPr>
              <w:t xml:space="preserve">General secondary school</w:t>
            </w:r>
          </w:p>
        </w:tc>
        <w:tc>
          <w:tcPr>
            <w:tcW w:type="dxa" w:w="2900"/>
            <w:shd w:fill="F2F2F2" w:val="clear"/>
            <w:tcMar>
              <w:top w:type="dxa" w:w="60"/>
              <w:left w:type="dxa" w:w="100"/>
              <w:bottom w:type="dxa" w:w="60"/>
              <w:right w:type="dxa" w:w="100"/>
            </w:tcMar>
          </w:tcPr>
          <w:p>
            <w:pPr>
              <w:jc w:val="center"/>
            </w:pPr>
            <w:r>
              <w:rPr>
                <w:b w:val="false"/>
                <w:bCs w:val="false"/>
                <w:sz w:val="19"/>
                <w:szCs w:val="19"/>
              </w:rPr>
              <w:t xml:space="preserve">34,839</w:t>
            </w:r>
          </w:p>
        </w:tc>
        <w:tc>
          <w:tcPr>
            <w:tcW w:type="dxa" w:w="2900"/>
            <w:shd w:fill="F2F2F2" w:val="clear"/>
            <w:tcMar>
              <w:top w:type="dxa" w:w="60"/>
              <w:left w:type="dxa" w:w="100"/>
              <w:bottom w:type="dxa" w:w="60"/>
              <w:right w:type="dxa" w:w="100"/>
            </w:tcMar>
          </w:tcPr>
          <w:p>
            <w:pPr>
              <w:jc w:val="center"/>
            </w:pPr>
            <w:r>
              <w:rPr>
                <w:b w:val="false"/>
                <w:bCs w:val="false"/>
                <w:sz w:val="19"/>
                <w:szCs w:val="19"/>
              </w:rPr>
              <w:t xml:space="preserve">15,425</w:t>
            </w:r>
          </w:p>
        </w:tc>
      </w:tr>
      <w:tr>
        <w:tc>
          <w:tcPr>
            <w:tcW w:type="dxa" w:w="4200"/>
            <w:tcMar>
              <w:top w:type="dxa" w:w="60"/>
              <w:left w:type="dxa" w:w="100"/>
              <w:bottom w:type="dxa" w:w="60"/>
              <w:right w:type="dxa" w:w="100"/>
            </w:tcMar>
          </w:tcPr>
          <w:p>
            <w:pPr>
              <w:jc w:val="left"/>
            </w:pPr>
            <w:r>
              <w:rPr>
                <w:b w:val="false"/>
                <w:bCs w:val="false"/>
                <w:sz w:val="19"/>
                <w:szCs w:val="19"/>
              </w:rPr>
              <w:t xml:space="preserve">Special education</w:t>
            </w:r>
          </w:p>
        </w:tc>
        <w:tc>
          <w:tcPr>
            <w:tcW w:type="dxa" w:w="2900"/>
            <w:tcMar>
              <w:top w:type="dxa" w:w="60"/>
              <w:left w:type="dxa" w:w="100"/>
              <w:bottom w:type="dxa" w:w="60"/>
              <w:right w:type="dxa" w:w="100"/>
            </w:tcMar>
          </w:tcPr>
          <w:p>
            <w:pPr>
              <w:jc w:val="center"/>
            </w:pPr>
            <w:r>
              <w:rPr>
                <w:b w:val="false"/>
                <w:bCs w:val="false"/>
                <w:sz w:val="19"/>
                <w:szCs w:val="19"/>
              </w:rPr>
              <w:t xml:space="preserve">25,035</w:t>
            </w:r>
          </w:p>
        </w:tc>
        <w:tc>
          <w:tcPr>
            <w:tcW w:type="dxa" w:w="2900"/>
            <w:tcMar>
              <w:top w:type="dxa" w:w="60"/>
              <w:left w:type="dxa" w:w="100"/>
              <w:bottom w:type="dxa" w:w="60"/>
              <w:right w:type="dxa" w:w="100"/>
            </w:tcMar>
          </w:tcPr>
          <w:p>
            <w:pPr>
              <w:jc w:val="center"/>
            </w:pPr>
            <w:r>
              <w:rPr>
                <w:b w:val="false"/>
                <w:bCs w:val="false"/>
                <w:sz w:val="19"/>
                <w:szCs w:val="19"/>
              </w:rPr>
              <w:t xml:space="preserve">3,375</w:t>
            </w:r>
          </w:p>
        </w:tc>
      </w:tr>
      <w:tr>
        <w:tc>
          <w:tcPr>
            <w:tcW w:type="dxa" w:w="4200"/>
            <w:shd w:fill="F2F2F2" w:val="clear"/>
            <w:tcMar>
              <w:top w:type="dxa" w:w="60"/>
              <w:left w:type="dxa" w:w="100"/>
              <w:bottom w:type="dxa" w:w="60"/>
              <w:right w:type="dxa" w:w="100"/>
            </w:tcMar>
          </w:tcPr>
          <w:p>
            <w:pPr>
              <w:jc w:val="left"/>
            </w:pPr>
            <w:r>
              <w:rPr>
                <w:b w:val="false"/>
                <w:bCs w:val="false"/>
                <w:sz w:val="19"/>
                <w:szCs w:val="19"/>
              </w:rPr>
              <w:t xml:space="preserve">Vocational education (secondary)</w:t>
            </w:r>
          </w:p>
        </w:tc>
        <w:tc>
          <w:tcPr>
            <w:tcW w:type="dxa" w:w="2900"/>
            <w:shd w:fill="F2F2F2" w:val="clear"/>
            <w:tcMar>
              <w:top w:type="dxa" w:w="60"/>
              <w:left w:type="dxa" w:w="100"/>
              <w:bottom w:type="dxa" w:w="60"/>
              <w:right w:type="dxa" w:w="100"/>
            </w:tcMar>
          </w:tcPr>
          <w:p>
            <w:pPr>
              <w:jc w:val="center"/>
            </w:pPr>
            <w:r>
              <w:rPr>
                <w:b w:val="false"/>
                <w:bCs w:val="false"/>
                <w:sz w:val="19"/>
                <w:szCs w:val="19"/>
              </w:rPr>
              <w:t xml:space="preserve">31,849</w:t>
            </w:r>
          </w:p>
        </w:tc>
        <w:tc>
          <w:tcPr>
            <w:tcW w:type="dxa" w:w="2900"/>
            <w:shd w:fill="F2F2F2" w:val="clear"/>
            <w:tcMar>
              <w:top w:type="dxa" w:w="60"/>
              <w:left w:type="dxa" w:w="100"/>
              <w:bottom w:type="dxa" w:w="60"/>
              <w:right w:type="dxa" w:w="100"/>
            </w:tcMar>
          </w:tcPr>
          <w:p>
            <w:pPr>
              <w:jc w:val="center"/>
            </w:pPr>
            <w:r>
              <w:rPr>
                <w:b w:val="false"/>
                <w:bCs w:val="false"/>
                <w:sz w:val="19"/>
                <w:szCs w:val="19"/>
              </w:rPr>
              <w:t xml:space="preserve">15,345</w:t>
            </w:r>
          </w:p>
        </w:tc>
      </w:tr>
      <w:tr>
        <w:tc>
          <w:tcPr>
            <w:tcW w:type="dxa" w:w="4200"/>
            <w:tcMar>
              <w:top w:type="dxa" w:w="60"/>
              <w:left w:type="dxa" w:w="100"/>
              <w:bottom w:type="dxa" w:w="60"/>
              <w:right w:type="dxa" w:w="100"/>
            </w:tcMar>
          </w:tcPr>
          <w:p>
            <w:pPr>
              <w:jc w:val="left"/>
            </w:pPr>
            <w:r>
              <w:rPr>
                <w:b w:val="false"/>
                <w:bCs w:val="false"/>
                <w:sz w:val="19"/>
                <w:szCs w:val="19"/>
              </w:rPr>
              <w:t xml:space="preserve">All teachers (primary &amp; general secondary)</w:t>
            </w:r>
          </w:p>
        </w:tc>
        <w:tc>
          <w:tcPr>
            <w:tcW w:type="dxa" w:w="2900"/>
            <w:tcMar>
              <w:top w:type="dxa" w:w="60"/>
              <w:left w:type="dxa" w:w="100"/>
              <w:bottom w:type="dxa" w:w="60"/>
              <w:right w:type="dxa" w:w="100"/>
            </w:tcMar>
          </w:tcPr>
          <w:p>
            <w:pPr>
              <w:jc w:val="center"/>
            </w:pPr>
            <w:r>
              <w:rPr>
                <w:b w:val="false"/>
                <w:bCs w:val="false"/>
                <w:sz w:val="19"/>
                <w:szCs w:val="19"/>
              </w:rPr>
              <w:t xml:space="preserve">31,280</w:t>
            </w:r>
          </w:p>
        </w:tc>
        <w:tc>
          <w:tcPr>
            <w:tcW w:type="dxa" w:w="2900"/>
            <w:tcMar>
              <w:top w:type="dxa" w:w="60"/>
              <w:left w:type="dxa" w:w="100"/>
              <w:bottom w:type="dxa" w:w="60"/>
              <w:right w:type="dxa" w:w="100"/>
            </w:tcMar>
          </w:tcPr>
          <w:p>
            <w:pPr>
              <w:jc w:val="center"/>
            </w:pPr>
            <w:r>
              <w:rPr>
                <w:b w:val="false"/>
                <w:bCs w:val="false"/>
                <w:sz w:val="19"/>
                <w:szCs w:val="19"/>
              </w:rPr>
              <w:t xml:space="preserve">13,564</w:t>
            </w:r>
          </w:p>
        </w:tc>
      </w:tr>
      <w:tr>
        <w:tc>
          <w:tcPr>
            <w:tcW w:type="dxa" w:w="4200"/>
            <w:shd w:fill="F2F2F2" w:val="clear"/>
            <w:tcMar>
              <w:top w:type="dxa" w:w="60"/>
              <w:left w:type="dxa" w:w="100"/>
              <w:bottom w:type="dxa" w:w="60"/>
              <w:right w:type="dxa" w:w="100"/>
            </w:tcMar>
          </w:tcPr>
          <w:p>
            <w:pPr>
              <w:jc w:val="left"/>
            </w:pPr>
            <w:r>
              <w:rPr>
                <w:b w:val="false"/>
                <w:bCs w:val="false"/>
                <w:sz w:val="19"/>
                <w:szCs w:val="19"/>
              </w:rPr>
              <w:t xml:space="preserve">All teachers (overall)</w:t>
            </w:r>
          </w:p>
        </w:tc>
        <w:tc>
          <w:tcPr>
            <w:tcW w:type="dxa" w:w="2900"/>
            <w:shd w:fill="F2F2F2" w:val="clear"/>
            <w:tcMar>
              <w:top w:type="dxa" w:w="60"/>
              <w:left w:type="dxa" w:w="100"/>
              <w:bottom w:type="dxa" w:w="60"/>
              <w:right w:type="dxa" w:w="100"/>
            </w:tcMar>
          </w:tcPr>
          <w:p>
            <w:pPr>
              <w:jc w:val="center"/>
            </w:pPr>
            <w:r>
              <w:rPr>
                <w:b w:val="false"/>
                <w:bCs w:val="false"/>
                <w:sz w:val="19"/>
                <w:szCs w:val="19"/>
              </w:rPr>
              <w:t xml:space="preserve">26,183</w:t>
            </w:r>
          </w:p>
        </w:tc>
        <w:tc>
          <w:tcPr>
            <w:tcW w:type="dxa" w:w="2900"/>
            <w:shd w:fill="F2F2F2" w:val="clear"/>
            <w:tcMar>
              <w:top w:type="dxa" w:w="60"/>
              <w:left w:type="dxa" w:w="100"/>
              <w:bottom w:type="dxa" w:w="60"/>
              <w:right w:type="dxa" w:w="100"/>
            </w:tcMar>
          </w:tcPr>
          <w:p>
            <w:pPr>
              <w:jc w:val="center"/>
            </w:pPr>
            <w:r>
              <w:rPr>
                <w:b w:val="false"/>
                <w:bCs w:val="false"/>
                <w:sz w:val="19"/>
                <w:szCs w:val="19"/>
              </w:rPr>
              <w:t xml:space="preserve">13,099</w:t>
            </w:r>
          </w:p>
        </w:tc>
      </w:tr>
    </w:tbl>
    <w:p>
      <w:pPr>
        <w:spacing w:after="240"/>
      </w:pPr>
      <w:r>
        <w:rPr>
          <w:i/>
          <w:iCs/>
          <w:color w:val="595959"/>
          <w:sz w:val="19"/>
          <w:szCs w:val="19"/>
        </w:rPr>
        <w:t xml:space="preserve">Source: 'No Teacher, No Class', State of the Education Report for India 2021, UNESCO. Private-sector pay is roughly 40-50% of government pay across every category — with special education showing the widest gap (private pay is barely 13% of government pay).</w:t>
      </w:r>
    </w:p>
    <w:p>
      <w:pPr>
        <w:pStyle w:val="Heading2"/>
        <w:spacing w:after="150" w:before="300"/>
      </w:pPr>
      <w:r>
        <w:t xml:space="preserve">5.6 Underqualified &amp; Untrained Staff by School Type</w:t>
      </w:r>
    </w:p>
    <w:p>
      <w:pPr>
        <w:spacing w:after="160"/>
      </w:pPr>
      <w:r>
        <w:t xml:space="preserve">Underqualification concentrates heavily in specific school categories, most visibly at the pre-primary stage in unrecognised madrasas (31.9%) and general unrecognised schools (16.9%), and in local-body schools at the pre-primary level (18.8%). Recognised, better-governed categories — Kendriya Vidyalayas, Jawahar Navodaya Vidyalayas, and government-aided schools — show minimal underqualification across every level.</w:t>
      </w:r>
    </w:p>
    <w:p>
      <w:pPr>
        <w:pStyle w:val="Heading1"/>
        <w:spacing w:after="200" w:before="400"/>
      </w:pPr>
      <w:r>
        <w:t xml:space="preserve">6. Pupil-Teacher Ratio (PTR): National Averages Mask Local Shortages</w:t>
      </w:r>
    </w:p>
    <w:p>
      <w:pPr>
        <w:spacing w:after="160"/>
      </w:pPr>
      <w:r>
        <w:t xml:space="preserve">National PTR has improved substantially and now sits comfortably within NEP's target ceiling of 30:1 (foundational stage target: 10:1):</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tblHeader/>
        </w:trPr>
        <w:tc>
          <w:tcPr>
            <w:tcW w:type="dxa" w:w="5000"/>
            <w:shd w:fill="13294B" w:val="clear"/>
            <w:tcMar>
              <w:top w:type="dxa" w:w="60"/>
              <w:left w:type="dxa" w:w="100"/>
              <w:bottom w:type="dxa" w:w="60"/>
              <w:right w:type="dxa" w:w="100"/>
            </w:tcMar>
          </w:tcPr>
          <w:p>
            <w:pPr>
              <w:jc w:val="center"/>
            </w:pPr>
            <w:r>
              <w:rPr>
                <w:b/>
                <w:bCs/>
                <w:color w:val="FFFFFF"/>
                <w:sz w:val="19"/>
                <w:szCs w:val="19"/>
              </w:rPr>
              <w:t xml:space="preserve">Level</w:t>
            </w:r>
          </w:p>
        </w:tc>
        <w:tc>
          <w:tcPr>
            <w:tcW w:type="dxa" w:w="5000"/>
            <w:shd w:fill="13294B" w:val="clear"/>
            <w:tcMar>
              <w:top w:type="dxa" w:w="60"/>
              <w:left w:type="dxa" w:w="100"/>
              <w:bottom w:type="dxa" w:w="60"/>
              <w:right w:type="dxa" w:w="100"/>
            </w:tcMar>
          </w:tcPr>
          <w:p>
            <w:pPr>
              <w:jc w:val="center"/>
            </w:pPr>
            <w:r>
              <w:rPr>
                <w:b/>
                <w:bCs/>
                <w:color w:val="FFFFFF"/>
                <w:sz w:val="19"/>
                <w:szCs w:val="19"/>
              </w:rPr>
              <w:t xml:space="preserve">National PTR, 2024-25</w:t>
            </w:r>
          </w:p>
        </w:tc>
      </w:tr>
      <w:tr>
        <w:tc>
          <w:tcPr>
            <w:tcW w:type="dxa" w:w="5000"/>
            <w:tcMar>
              <w:top w:type="dxa" w:w="60"/>
              <w:left w:type="dxa" w:w="100"/>
              <w:bottom w:type="dxa" w:w="60"/>
              <w:right w:type="dxa" w:w="100"/>
            </w:tcMar>
          </w:tcPr>
          <w:p>
            <w:pPr>
              <w:jc w:val="left"/>
            </w:pPr>
            <w:r>
              <w:rPr>
                <w:b w:val="false"/>
                <w:bCs w:val="false"/>
                <w:sz w:val="19"/>
                <w:szCs w:val="19"/>
              </w:rPr>
              <w:t xml:space="preserve">Primary (1-5)</w:t>
            </w:r>
          </w:p>
        </w:tc>
        <w:tc>
          <w:tcPr>
            <w:tcW w:type="dxa" w:w="5000"/>
            <w:tcMar>
              <w:top w:type="dxa" w:w="60"/>
              <w:left w:type="dxa" w:w="100"/>
              <w:bottom w:type="dxa" w:w="60"/>
              <w:right w:type="dxa" w:w="100"/>
            </w:tcMar>
          </w:tcPr>
          <w:p>
            <w:pPr>
              <w:jc w:val="center"/>
            </w:pPr>
            <w:r>
              <w:rPr>
                <w:b w:val="false"/>
                <w:bCs w:val="false"/>
                <w:sz w:val="19"/>
                <w:szCs w:val="19"/>
              </w:rPr>
              <w:t xml:space="preserve">20:1</w:t>
            </w:r>
          </w:p>
        </w:tc>
      </w:tr>
      <w:tr>
        <w:tc>
          <w:tcPr>
            <w:tcW w:type="dxa" w:w="5000"/>
            <w:shd w:fill="F2F2F2" w:val="clear"/>
            <w:tcMar>
              <w:top w:type="dxa" w:w="60"/>
              <w:left w:type="dxa" w:w="100"/>
              <w:bottom w:type="dxa" w:w="60"/>
              <w:right w:type="dxa" w:w="100"/>
            </w:tcMar>
          </w:tcPr>
          <w:p>
            <w:pPr>
              <w:jc w:val="left"/>
            </w:pPr>
            <w:r>
              <w:rPr>
                <w:b w:val="false"/>
                <w:bCs w:val="false"/>
                <w:sz w:val="19"/>
                <w:szCs w:val="19"/>
              </w:rPr>
              <w:t xml:space="preserve">Upper Primary (6-8)</w:t>
            </w:r>
          </w:p>
        </w:tc>
        <w:tc>
          <w:tcPr>
            <w:tcW w:type="dxa" w:w="5000"/>
            <w:shd w:fill="F2F2F2" w:val="clear"/>
            <w:tcMar>
              <w:top w:type="dxa" w:w="60"/>
              <w:left w:type="dxa" w:w="100"/>
              <w:bottom w:type="dxa" w:w="60"/>
              <w:right w:type="dxa" w:w="100"/>
            </w:tcMar>
          </w:tcPr>
          <w:p>
            <w:pPr>
              <w:jc w:val="center"/>
            </w:pPr>
            <w:r>
              <w:rPr>
                <w:b w:val="false"/>
                <w:bCs w:val="false"/>
                <w:sz w:val="19"/>
                <w:szCs w:val="19"/>
              </w:rPr>
              <w:t xml:space="preserve">17:1</w:t>
            </w:r>
          </w:p>
        </w:tc>
      </w:tr>
      <w:tr>
        <w:tc>
          <w:tcPr>
            <w:tcW w:type="dxa" w:w="5000"/>
            <w:tcMar>
              <w:top w:type="dxa" w:w="60"/>
              <w:left w:type="dxa" w:w="100"/>
              <w:bottom w:type="dxa" w:w="60"/>
              <w:right w:type="dxa" w:w="100"/>
            </w:tcMar>
          </w:tcPr>
          <w:p>
            <w:pPr>
              <w:jc w:val="left"/>
            </w:pPr>
            <w:r>
              <w:rPr>
                <w:b w:val="false"/>
                <w:bCs w:val="false"/>
                <w:sz w:val="19"/>
                <w:szCs w:val="19"/>
              </w:rPr>
              <w:t xml:space="preserve">Secondary (9-10)</w:t>
            </w:r>
          </w:p>
        </w:tc>
        <w:tc>
          <w:tcPr>
            <w:tcW w:type="dxa" w:w="5000"/>
            <w:tcMar>
              <w:top w:type="dxa" w:w="60"/>
              <w:left w:type="dxa" w:w="100"/>
              <w:bottom w:type="dxa" w:w="60"/>
              <w:right w:type="dxa" w:w="100"/>
            </w:tcMar>
          </w:tcPr>
          <w:p>
            <w:pPr>
              <w:jc w:val="center"/>
            </w:pPr>
            <w:r>
              <w:rPr>
                <w:b w:val="false"/>
                <w:bCs w:val="false"/>
                <w:sz w:val="19"/>
                <w:szCs w:val="19"/>
              </w:rPr>
              <w:t xml:space="preserve">15:1</w:t>
            </w:r>
          </w:p>
        </w:tc>
      </w:tr>
      <w:tr>
        <w:tc>
          <w:tcPr>
            <w:tcW w:type="dxa" w:w="5000"/>
            <w:shd w:fill="F2F2F2" w:val="clear"/>
            <w:tcMar>
              <w:top w:type="dxa" w:w="60"/>
              <w:left w:type="dxa" w:w="100"/>
              <w:bottom w:type="dxa" w:w="60"/>
              <w:right w:type="dxa" w:w="100"/>
            </w:tcMar>
          </w:tcPr>
          <w:p>
            <w:pPr>
              <w:jc w:val="left"/>
            </w:pPr>
            <w:r>
              <w:rPr>
                <w:b w:val="false"/>
                <w:bCs w:val="false"/>
                <w:sz w:val="19"/>
                <w:szCs w:val="19"/>
              </w:rPr>
              <w:t xml:space="preserve">Higher Secondary (11-12)</w:t>
            </w:r>
          </w:p>
        </w:tc>
        <w:tc>
          <w:tcPr>
            <w:tcW w:type="dxa" w:w="5000"/>
            <w:shd w:fill="F2F2F2" w:val="clear"/>
            <w:tcMar>
              <w:top w:type="dxa" w:w="60"/>
              <w:left w:type="dxa" w:w="100"/>
              <w:bottom w:type="dxa" w:w="60"/>
              <w:right w:type="dxa" w:w="100"/>
            </w:tcMar>
          </w:tcPr>
          <w:p>
            <w:pPr>
              <w:jc w:val="center"/>
            </w:pPr>
            <w:r>
              <w:rPr>
                <w:b w:val="false"/>
                <w:bCs w:val="false"/>
                <w:sz w:val="19"/>
                <w:szCs w:val="19"/>
              </w:rPr>
              <w:t xml:space="preserve">23:1</w:t>
            </w:r>
          </w:p>
        </w:tc>
      </w:tr>
    </w:tbl>
    <w:p>
      <w:pPr>
        <w:spacing w:after="240"/>
      </w:pPr>
      <w:r>
        <w:rPr>
          <w:i/>
          <w:iCs/>
          <w:color w:val="595959"/>
          <w:sz w:val="19"/>
          <w:szCs w:val="19"/>
        </w:rPr>
        <w:t xml:space="preserve">Source: UDISE+ 2024-25.</w:t>
      </w:r>
    </w:p>
    <w:p>
      <w:pPr>
        <w:spacing w:after="160"/>
      </w:pPr>
      <w:r>
        <w:t xml:space="preserve">These national numbers, however, sit on top of significant local variance. Using the earlier 2018/19 UDISE baseline: the national PTR average was 26:1, ranging from 23:1 (elementary) to 28:1 (composite schools) — within RTE norms overall, but 22% of primary-only schools individually exceeded 30:1, and secondary/senior-secondary schools nationally ranged between 43:1 and 47:1 — well outside RTE norms at the school level even where state averages look healthy.</w:t>
      </w:r>
    </w:p>
    <w:p>
      <w:pPr>
        <w:spacing w:after="160"/>
      </w:pPr>
      <w:r>
        <w:t xml:space="preserve">The 2024-25 state-level PTR table confirms this unevenness persists: Jharkhand's higher-secondary PTR is 47:1 (worse than the national 23:1 by a factor of two), Odisha and Maharashtra both sit at 37:1 for higher secondary, while several smaller states/UTs (Sikkim, Ladakh, Mizoram) post single-digit ratios.</w:t>
      </w:r>
    </w:p>
    <w:p>
      <w:pPr>
        <w:pStyle w:val="ListParagraph"/>
        <w:numPr>
          <w:ilvl w:val="0"/>
          <w:numId w:val="1"/>
        </w:numPr>
        <w:spacing w:after="80"/>
      </w:pPr>
      <w:r>
        <w:rPr>
          <w:b/>
          <w:bCs/>
        </w:rPr>
        <w:t xml:space="preserve">Structural cause: </w:t>
      </w:r>
      <w:r>
        <w:t xml:space="preserve">over 100,000 single-teacher schools exist nationwide, disproportionately in rural areas — meaning many small rural schools carry an effectively infinite local PTR ceiling regardless of the national average, while some urban/private schools run with a surplus of teachers per student.</w:t>
      </w:r>
    </w:p>
    <w:p>
      <w:pPr>
        <w:spacing w:after="240"/>
      </w:pPr>
      <w:r>
        <w:rPr>
          <w:i/>
          <w:iCs/>
          <w:color w:val="595959"/>
          <w:sz w:val="19"/>
          <w:szCs w:val="19"/>
        </w:rPr>
        <w:t xml:space="preserve">Implication: PTR data should never be read as evidence that a state or segment has 'enough' teachers — the gap is one of distribution and matching, which is exactly the coordination problem a network/marketplace model can address better than static hiring.</w:t>
      </w:r>
    </w:p>
    <w:p>
      <w:pPr>
        <w:pStyle w:val="Heading1"/>
        <w:spacing w:after="200" w:before="400"/>
      </w:pPr>
      <w:r>
        <w:t xml:space="preserve">7. Rural-Urban Infrastructure Gap</w:t>
      </w:r>
    </w:p>
    <w:p>
      <w:pPr>
        <w:pStyle w:val="ListParagraph"/>
        <w:numPr>
          <w:ilvl w:val="0"/>
          <w:numId w:val="1"/>
        </w:numPr>
        <w:spacing w:after="80"/>
      </w:pPr>
      <w:r>
        <w:rPr>
          <w:b/>
          <w:bCs/>
        </w:rPr>
        <w:t xml:space="preserve">Internet access: </w:t>
      </w:r>
      <w:r>
        <w:t xml:space="preserve">only ~18% of rural schools had internet access in 2021-22, versus ~47% of urban schools.</w:t>
      </w:r>
    </w:p>
    <w:p>
      <w:pPr>
        <w:pStyle w:val="ListParagraph"/>
        <w:numPr>
          <w:ilvl w:val="0"/>
          <w:numId w:val="1"/>
        </w:numPr>
        <w:spacing w:after="80"/>
      </w:pPr>
      <w:r>
        <w:rPr>
          <w:b/>
          <w:bCs/>
        </w:rPr>
        <w:t xml:space="preserve">Digital infrastructure: </w:t>
      </w:r>
      <w:r>
        <w:t xml:space="preserve">44.9% of rural schools had basic digital infrastructure (computers, smart classrooms) versus 68.7% of urban schools — a 23-29 percentage-point gap.</w:t>
      </w:r>
    </w:p>
    <w:p>
      <w:pPr>
        <w:pStyle w:val="ListParagraph"/>
        <w:numPr>
          <w:ilvl w:val="0"/>
          <w:numId w:val="1"/>
        </w:numPr>
        <w:spacing w:after="80"/>
      </w:pPr>
      <w:r>
        <w:rPr>
          <w:b/>
          <w:bCs/>
        </w:rPr>
        <w:t xml:space="preserve">School consolidation: </w:t>
      </w:r>
      <w:r>
        <w:t xml:space="preserve">closure and merging of small schools has been widespread since 2017-18, particularly in rural areas, reducing access and increasing class sizes where schools remain.</w:t>
      </w:r>
    </w:p>
    <w:p>
      <w:pPr>
        <w:spacing w:after="240"/>
      </w:pPr>
      <w:r>
        <w:rPr>
          <w:i/>
          <w:iCs/>
          <w:color w:val="595959"/>
          <w:sz w:val="19"/>
          <w:szCs w:val="19"/>
        </w:rPr>
        <w:t xml:space="preserve">This gap is directly relevant to product design: a rural-first teacher network cannot assume reliable broadband access and should be designed mobile-first, low-bandwidth, and WhatsApp-compatible — consistent with the Phase-1 GTM plan's channel choices.</w:t>
      </w:r>
    </w:p>
    <w:p>
      <w:pPr>
        <w:pStyle w:val="Heading1"/>
        <w:spacing w:after="200" w:before="400"/>
      </w:pPr>
      <w:r>
        <w:t xml:space="preserve">8. Policy Tailwind: NEP 2020</w:t>
      </w:r>
    </w:p>
    <w:p>
      <w:pPr>
        <w:spacing w:after="160"/>
      </w:pPr>
      <w:r>
        <w:t xml:space="preserve">NEP 2020 restructures both the pedagogy and the institutional geography of Indian schooling in ways that directly favour a networked, assessment-driven teacher platform.</w:t>
      </w:r>
    </w:p>
    <w:p>
      <w:pPr>
        <w:pStyle w:val="Heading2"/>
        <w:spacing w:after="150" w:before="300"/>
      </w:pPr>
      <w:r>
        <w:t xml:space="preserve">8.1 Extracurricular &amp; Holistic Education Provisions</w:t>
      </w:r>
    </w:p>
    <w:p>
      <w:pPr>
        <w:pStyle w:val="ListParagraph"/>
        <w:numPr>
          <w:ilvl w:val="0"/>
          <w:numId w:val="1"/>
        </w:numPr>
        <w:spacing w:after="80"/>
      </w:pPr>
      <w:r>
        <w:t xml:space="preserve">No rigid separation between curricular, co-curricular, and extracurricular activities — arts, sports, and cultural activities are to be integrated into the regular curriculum.</w:t>
      </w:r>
    </w:p>
    <w:p>
      <w:pPr>
        <w:pStyle w:val="ListParagraph"/>
        <w:numPr>
          <w:ilvl w:val="0"/>
          <w:numId w:val="1"/>
        </w:numPr>
        <w:spacing w:after="80"/>
      </w:pPr>
      <w:r>
        <w:t xml:space="preserve">Arts-Integrated Education: dance, music, theatre, painting, and craft used as pedagogical tools across academic subjects.</w:t>
      </w:r>
    </w:p>
    <w:p>
      <w:pPr>
        <w:pStyle w:val="ListParagraph"/>
        <w:numPr>
          <w:ilvl w:val="0"/>
          <w:numId w:val="1"/>
        </w:numPr>
        <w:spacing w:after="80"/>
      </w:pPr>
      <w:r>
        <w:t xml:space="preserve">Sports-Integrated Education: teamwork, discipline, leadership, physical fitness, and life skills alongside cognitive learning.</w:t>
      </w:r>
    </w:p>
    <w:p>
      <w:pPr>
        <w:pStyle w:val="ListParagraph"/>
        <w:numPr>
          <w:ilvl w:val="0"/>
          <w:numId w:val="1"/>
        </w:numPr>
        <w:spacing w:after="80"/>
      </w:pPr>
      <w:r>
        <w:t xml:space="preserve">Play-based and activity-based learning mandated in ECCE and primary classes (music, movement, drama, storytelling, drawing, games).</w:t>
      </w:r>
    </w:p>
    <w:p>
      <w:pPr>
        <w:pStyle w:val="ListParagraph"/>
        <w:numPr>
          <w:ilvl w:val="0"/>
          <w:numId w:val="1"/>
        </w:numPr>
        <w:spacing w:after="80"/>
      </w:pPr>
      <w:r>
        <w:t xml:space="preserve">Middle school (Grades 6-8): bagless days, clubs, and activity periods for arts, sports, quizzes, vocational crafts, and cultural activities.</w:t>
      </w:r>
    </w:p>
    <w:p>
      <w:pPr>
        <w:pStyle w:val="ListParagraph"/>
        <w:numPr>
          <w:ilvl w:val="0"/>
          <w:numId w:val="1"/>
        </w:numPr>
        <w:spacing w:after="80"/>
      </w:pPr>
      <w:r>
        <w:t xml:space="preserve">Secondary school (Grades 9-12): students gain flexibility to formally choose dance, music, physical education, arts, and vocational subjects.</w:t>
      </w:r>
    </w:p>
    <w:p>
      <w:pPr>
        <w:pStyle w:val="ListParagraph"/>
        <w:numPr>
          <w:ilvl w:val="0"/>
          <w:numId w:val="1"/>
        </w:numPr>
        <w:spacing w:after="80"/>
      </w:pPr>
      <w:r>
        <w:t xml:space="preserve">Clubs and performance circles encouraged at school and school-complex level to nurture individual talent.</w:t>
      </w:r>
    </w:p>
    <w:p>
      <w:pPr>
        <w:pStyle w:val="ListParagraph"/>
        <w:numPr>
          <w:ilvl w:val="0"/>
          <w:numId w:val="1"/>
        </w:numPr>
        <w:spacing w:after="80"/>
      </w:pPr>
      <w:r>
        <w:t xml:space="preserve">Progress cards become holistic — recognising extracurricular participation and achievement alongside academics.</w:t>
      </w:r>
    </w:p>
    <w:p>
      <w:pPr>
        <w:pStyle w:val="Heading2"/>
        <w:spacing w:after="150" w:before="300"/>
      </w:pPr>
      <w:r>
        <w:t xml:space="preserve">8.2 School Complexes and Shared Teachers</w:t>
      </w:r>
    </w:p>
    <w:p>
      <w:pPr>
        <w:spacing w:after="160"/>
      </w:pPr>
      <w:r>
        <w:t xml:space="preserve">NEP 2020 introduces school complexes/clusters in which resources — including teachers — are shared across institutions, and a single educator may work across multiple schools. This is a structural opening for a platform model: cross-school teacher mobility requires exactly the kind of portable, verifiable teacher profile and skill record Path-shaala proposes to build, and is very difficult to coordinate through static, single-employer job boards.</w:t>
      </w:r>
    </w:p>
    <w:p>
      <w:pPr>
        <w:pStyle w:val="Heading2"/>
        <w:spacing w:after="150" w:before="300"/>
      </w:pPr>
      <w:r>
        <w:t xml:space="preserve">8.3 Assessment Philosophy</w:t>
      </w:r>
    </w:p>
    <w:p>
      <w:pPr>
        <w:spacing w:after="160"/>
      </w:pPr>
      <w:r>
        <w:t xml:space="preserve">Teacher-training research folded into this dataset independently confirms the same direction: candidates and institutions increasingly value multi-dimensional, formative assessment that captures cognitive, affective, and psychomotor domains — not single-score exams. This validates Path-shaala's planned 'Teacher Quality Index' (Section 10) as aligned with where the policy and pedagogy conversation is already heading, rather than an external imposition on schools.</w:t>
      </w:r>
    </w:p>
    <w:p>
      <w:pPr>
        <w:pStyle w:val="Heading1"/>
        <w:spacing w:after="200" w:before="400"/>
      </w:pPr>
      <w:r>
        <w:t xml:space="preserve">9. Competitive Landscape</w:t>
      </w:r>
    </w:p>
    <w:p>
      <w:pPr>
        <w:spacing w:after="160"/>
      </w:pPr>
      <w:r>
        <w:t xml:space="preserve">The existing competitive set is made up almost entirely of static teacher job-listing portals, with no assessment, upskilling, or trust-building layer: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700"/>
      </w:tblGrid>
      <w:tr>
        <w:trPr>
          <w:tblHeader/>
        </w:trPr>
        <w:tc>
          <w:tcPr>
            <w:tcW w:type="dxa" w:w="2400"/>
            <w:shd w:fill="13294B" w:val="clear"/>
            <w:tcMar>
              <w:top w:type="dxa" w:w="60"/>
              <w:left w:type="dxa" w:w="100"/>
              <w:bottom w:type="dxa" w:w="60"/>
              <w:right w:type="dxa" w:w="100"/>
            </w:tcMar>
          </w:tcPr>
          <w:p>
            <w:pPr>
              <w:jc w:val="center"/>
            </w:pPr>
            <w:r>
              <w:rPr>
                <w:b/>
                <w:bCs/>
                <w:color w:val="FFFFFF"/>
                <w:sz w:val="19"/>
                <w:szCs w:val="19"/>
              </w:rPr>
              <w:t xml:space="preserve">Competitor</w:t>
            </w:r>
          </w:p>
        </w:tc>
        <w:tc>
          <w:tcPr>
            <w:tcW w:type="dxa" w:w="3900"/>
            <w:shd w:fill="13294B" w:val="clear"/>
            <w:tcMar>
              <w:top w:type="dxa" w:w="60"/>
              <w:left w:type="dxa" w:w="100"/>
              <w:bottom w:type="dxa" w:w="60"/>
              <w:right w:type="dxa" w:w="100"/>
            </w:tcMar>
          </w:tcPr>
          <w:p>
            <w:pPr>
              <w:jc w:val="center"/>
            </w:pPr>
            <w:r>
              <w:rPr>
                <w:b/>
                <w:bCs/>
                <w:color w:val="FFFFFF"/>
                <w:sz w:val="19"/>
                <w:szCs w:val="19"/>
              </w:rPr>
              <w:t xml:space="preserve">Positioning</w:t>
            </w:r>
          </w:p>
        </w:tc>
        <w:tc>
          <w:tcPr>
            <w:tcW w:type="dxa" w:w="3700"/>
            <w:shd w:fill="13294B" w:val="clear"/>
            <w:tcMar>
              <w:top w:type="dxa" w:w="60"/>
              <w:left w:type="dxa" w:w="100"/>
              <w:bottom w:type="dxa" w:w="60"/>
              <w:right w:type="dxa" w:w="100"/>
            </w:tcMar>
          </w:tcPr>
          <w:p>
            <w:pPr>
              <w:jc w:val="center"/>
            </w:pPr>
            <w:r>
              <w:rPr>
                <w:b/>
                <w:bCs/>
                <w:color w:val="FFFFFF"/>
                <w:sz w:val="19"/>
                <w:szCs w:val="19"/>
              </w:rPr>
              <w:t xml:space="preserve">Key Gap vs. Path-shaala</w:t>
            </w:r>
          </w:p>
        </w:tc>
      </w:tr>
      <w:tr>
        <w:tc>
          <w:tcPr>
            <w:tcW w:type="dxa" w:w="2400"/>
            <w:tcMar>
              <w:top w:type="dxa" w:w="60"/>
              <w:left w:type="dxa" w:w="100"/>
              <w:bottom w:type="dxa" w:w="60"/>
              <w:right w:type="dxa" w:w="100"/>
            </w:tcMar>
          </w:tcPr>
          <w:p>
            <w:pPr>
              <w:jc w:val="left"/>
            </w:pPr>
            <w:r>
              <w:rPr>
                <w:b w:val="false"/>
                <w:bCs w:val="false"/>
                <w:sz w:val="19"/>
                <w:szCs w:val="19"/>
              </w:rPr>
              <w:t xml:space="preserve">EduHire360</w:t>
            </w:r>
          </w:p>
        </w:tc>
        <w:tc>
          <w:tcPr>
            <w:tcW w:type="dxa" w:w="3900"/>
            <w:tcMar>
              <w:top w:type="dxa" w:w="60"/>
              <w:left w:type="dxa" w:w="100"/>
              <w:bottom w:type="dxa" w:w="60"/>
              <w:right w:type="dxa" w:w="100"/>
            </w:tcMar>
          </w:tcPr>
          <w:p>
            <w:pPr>
              <w:jc w:val="center"/>
            </w:pPr>
            <w:r>
              <w:rPr>
                <w:b w:val="false"/>
                <w:bCs w:val="false"/>
                <w:sz w:val="19"/>
                <w:szCs w:val="19"/>
              </w:rPr>
              <w:t xml:space="preserve">Dedicated portal for teaching jobs across India (primary, high school, tuitions, online); daily updated listings</w:t>
            </w:r>
          </w:p>
        </w:tc>
        <w:tc>
          <w:tcPr>
            <w:tcW w:type="dxa" w:w="3700"/>
            <w:tcMar>
              <w:top w:type="dxa" w:w="60"/>
              <w:left w:type="dxa" w:w="100"/>
              <w:bottom w:type="dxa" w:w="60"/>
              <w:right w:type="dxa" w:w="100"/>
            </w:tcMar>
          </w:tcPr>
          <w:p>
            <w:pPr>
              <w:jc w:val="center"/>
            </w:pPr>
            <w:r>
              <w:rPr>
                <w:b w:val="false"/>
                <w:bCs w:val="false"/>
                <w:sz w:val="19"/>
                <w:szCs w:val="19"/>
              </w:rPr>
              <w:t xml:space="preserve">Pure listings — no quality signal or teacher development</w:t>
            </w:r>
          </w:p>
        </w:tc>
      </w:tr>
      <w:tr>
        <w:tc>
          <w:tcPr>
            <w:tcW w:type="dxa" w:w="2400"/>
            <w:shd w:fill="F2F2F2" w:val="clear"/>
            <w:tcMar>
              <w:top w:type="dxa" w:w="60"/>
              <w:left w:type="dxa" w:w="100"/>
              <w:bottom w:type="dxa" w:w="60"/>
              <w:right w:type="dxa" w:w="100"/>
            </w:tcMar>
          </w:tcPr>
          <w:p>
            <w:pPr>
              <w:jc w:val="left"/>
            </w:pPr>
            <w:r>
              <w:rPr>
                <w:b w:val="false"/>
                <w:bCs w:val="false"/>
                <w:sz w:val="19"/>
                <w:szCs w:val="19"/>
              </w:rPr>
              <w:t xml:space="preserve">educatorOne.com</w:t>
            </w:r>
          </w:p>
        </w:tc>
        <w:tc>
          <w:tcPr>
            <w:tcW w:type="dxa" w:w="3900"/>
            <w:shd w:fill="F2F2F2" w:val="clear"/>
            <w:tcMar>
              <w:top w:type="dxa" w:w="60"/>
              <w:left w:type="dxa" w:w="100"/>
              <w:bottom w:type="dxa" w:w="60"/>
              <w:right w:type="dxa" w:w="100"/>
            </w:tcMar>
          </w:tcPr>
          <w:p>
            <w:pPr>
              <w:jc w:val="center"/>
            </w:pPr>
            <w:r>
              <w:rPr>
                <w:b w:val="false"/>
                <w:bCs w:val="false"/>
                <w:sz w:val="19"/>
                <w:szCs w:val="19"/>
              </w:rPr>
              <w:t xml:space="preserve">Exclusively K-12 vacancies (CBSE, ICSE, IB, other boards)</w:t>
            </w:r>
          </w:p>
        </w:tc>
        <w:tc>
          <w:tcPr>
            <w:tcW w:type="dxa" w:w="3700"/>
            <w:shd w:fill="F2F2F2" w:val="clear"/>
            <w:tcMar>
              <w:top w:type="dxa" w:w="60"/>
              <w:left w:type="dxa" w:w="100"/>
              <w:bottom w:type="dxa" w:w="60"/>
              <w:right w:type="dxa" w:w="100"/>
            </w:tcMar>
          </w:tcPr>
          <w:p>
            <w:pPr>
              <w:jc w:val="center"/>
            </w:pPr>
            <w:r>
              <w:rPr>
                <w:b w:val="false"/>
                <w:bCs w:val="false"/>
                <w:sz w:val="19"/>
                <w:szCs w:val="19"/>
              </w:rPr>
              <w:t xml:space="preserve">Board-exam-school focus; no rural/NGO orientation</w:t>
            </w:r>
          </w:p>
        </w:tc>
      </w:tr>
      <w:tr>
        <w:tc>
          <w:tcPr>
            <w:tcW w:type="dxa" w:w="2400"/>
            <w:tcMar>
              <w:top w:type="dxa" w:w="60"/>
              <w:left w:type="dxa" w:w="100"/>
              <w:bottom w:type="dxa" w:w="60"/>
              <w:right w:type="dxa" w:w="100"/>
            </w:tcMar>
          </w:tcPr>
          <w:p>
            <w:pPr>
              <w:jc w:val="left"/>
            </w:pPr>
            <w:r>
              <w:rPr>
                <w:b w:val="false"/>
                <w:bCs w:val="false"/>
                <w:sz w:val="19"/>
                <w:szCs w:val="19"/>
              </w:rPr>
              <w:t xml:space="preserve">TeachersJob.in / Teachersjob.pro</w:t>
            </w:r>
          </w:p>
        </w:tc>
        <w:tc>
          <w:tcPr>
            <w:tcW w:type="dxa" w:w="3900"/>
            <w:tcMar>
              <w:top w:type="dxa" w:w="60"/>
              <w:left w:type="dxa" w:w="100"/>
              <w:bottom w:type="dxa" w:w="60"/>
              <w:right w:type="dxa" w:w="100"/>
            </w:tcMar>
          </w:tcPr>
          <w:p>
            <w:pPr>
              <w:jc w:val="center"/>
            </w:pPr>
            <w:r>
              <w:rPr>
                <w:b w:val="false"/>
                <w:bCs w:val="false"/>
                <w:sz w:val="19"/>
                <w:szCs w:val="19"/>
              </w:rPr>
              <w:t xml:space="preserve">General teaching job listings, primary to higher classes</w:t>
            </w:r>
          </w:p>
        </w:tc>
        <w:tc>
          <w:tcPr>
            <w:tcW w:type="dxa" w:w="3700"/>
            <w:tcMar>
              <w:top w:type="dxa" w:w="60"/>
              <w:left w:type="dxa" w:w="100"/>
              <w:bottom w:type="dxa" w:w="60"/>
              <w:right w:type="dxa" w:w="100"/>
            </w:tcMar>
          </w:tcPr>
          <w:p>
            <w:pPr>
              <w:jc w:val="center"/>
            </w:pPr>
            <w:r>
              <w:rPr>
                <w:b w:val="false"/>
                <w:bCs w:val="false"/>
                <w:sz w:val="19"/>
                <w:szCs w:val="19"/>
              </w:rPr>
              <w:t xml:space="preserve">Generic aggregator; no assessment or retention tooling</w:t>
            </w:r>
          </w:p>
        </w:tc>
      </w:tr>
      <w:tr>
        <w:tc>
          <w:tcPr>
            <w:tcW w:type="dxa" w:w="2400"/>
            <w:shd w:fill="F2F2F2" w:val="clear"/>
            <w:tcMar>
              <w:top w:type="dxa" w:w="60"/>
              <w:left w:type="dxa" w:w="100"/>
              <w:bottom w:type="dxa" w:w="60"/>
              <w:right w:type="dxa" w:w="100"/>
            </w:tcMar>
          </w:tcPr>
          <w:p>
            <w:pPr>
              <w:jc w:val="left"/>
            </w:pPr>
            <w:r>
              <w:rPr>
                <w:b w:val="false"/>
                <w:bCs w:val="false"/>
                <w:sz w:val="19"/>
                <w:szCs w:val="19"/>
              </w:rPr>
              <w:t xml:space="preserve">Teachingcareer.online</w:t>
            </w:r>
          </w:p>
        </w:tc>
        <w:tc>
          <w:tcPr>
            <w:tcW w:type="dxa" w:w="3900"/>
            <w:shd w:fill="F2F2F2" w:val="clear"/>
            <w:tcMar>
              <w:top w:type="dxa" w:w="60"/>
              <w:left w:type="dxa" w:w="100"/>
              <w:bottom w:type="dxa" w:w="60"/>
              <w:right w:type="dxa" w:w="100"/>
            </w:tcMar>
          </w:tcPr>
          <w:p>
            <w:pPr>
              <w:jc w:val="center"/>
            </w:pPr>
            <w:r>
              <w:rPr>
                <w:b w:val="false"/>
                <w:bCs w:val="false"/>
                <w:sz w:val="19"/>
                <w:szCs w:val="19"/>
              </w:rPr>
              <w:t xml:space="preserve">Free portal, daily job updates and alerts</w:t>
            </w:r>
          </w:p>
        </w:tc>
        <w:tc>
          <w:tcPr>
            <w:tcW w:type="dxa" w:w="3700"/>
            <w:shd w:fill="F2F2F2" w:val="clear"/>
            <w:tcMar>
              <w:top w:type="dxa" w:w="60"/>
              <w:left w:type="dxa" w:w="100"/>
              <w:bottom w:type="dxa" w:w="60"/>
              <w:right w:type="dxa" w:w="100"/>
            </w:tcMar>
          </w:tcPr>
          <w:p>
            <w:pPr>
              <w:jc w:val="center"/>
            </w:pPr>
            <w:r>
              <w:rPr>
                <w:b w:val="false"/>
                <w:bCs w:val="false"/>
                <w:sz w:val="19"/>
                <w:szCs w:val="19"/>
              </w:rPr>
              <w:t xml:space="preserve">Free/low-quality signal; no employer vetting</w:t>
            </w:r>
          </w:p>
        </w:tc>
      </w:tr>
      <w:tr>
        <w:tc>
          <w:tcPr>
            <w:tcW w:type="dxa" w:w="2400"/>
            <w:tcMar>
              <w:top w:type="dxa" w:w="60"/>
              <w:left w:type="dxa" w:w="100"/>
              <w:bottom w:type="dxa" w:w="60"/>
              <w:right w:type="dxa" w:w="100"/>
            </w:tcMar>
          </w:tcPr>
          <w:p>
            <w:pPr>
              <w:jc w:val="left"/>
            </w:pPr>
            <w:r>
              <w:rPr>
                <w:b w:val="false"/>
                <w:bCs w:val="false"/>
                <w:sz w:val="19"/>
                <w:szCs w:val="19"/>
              </w:rPr>
              <w:t xml:space="preserve">Teachers Recruiter</w:t>
            </w:r>
          </w:p>
        </w:tc>
        <w:tc>
          <w:tcPr>
            <w:tcW w:type="dxa" w:w="3900"/>
            <w:tcMar>
              <w:top w:type="dxa" w:w="60"/>
              <w:left w:type="dxa" w:w="100"/>
              <w:bottom w:type="dxa" w:w="60"/>
              <w:right w:type="dxa" w:w="100"/>
            </w:tcMar>
          </w:tcPr>
          <w:p>
            <w:pPr>
              <w:jc w:val="center"/>
            </w:pPr>
            <w:r>
              <w:rPr>
                <w:b w:val="false"/>
                <w:bCs w:val="false"/>
                <w:sz w:val="19"/>
                <w:szCs w:val="19"/>
              </w:rPr>
              <w:t xml:space="preserve">Connects teachers with verified schools/postings across India</w:t>
            </w:r>
          </w:p>
        </w:tc>
        <w:tc>
          <w:tcPr>
            <w:tcW w:type="dxa" w:w="3700"/>
            <w:tcMar>
              <w:top w:type="dxa" w:w="60"/>
              <w:left w:type="dxa" w:w="100"/>
              <w:bottom w:type="dxa" w:w="60"/>
              <w:right w:type="dxa" w:w="100"/>
            </w:tcMar>
          </w:tcPr>
          <w:p>
            <w:pPr>
              <w:jc w:val="center"/>
            </w:pPr>
            <w:r>
              <w:rPr>
                <w:b w:val="false"/>
                <w:bCs w:val="false"/>
                <w:sz w:val="19"/>
                <w:szCs w:val="19"/>
              </w:rPr>
              <w:t xml:space="preserve">Verification exists but no skill assessment or career development layer</w:t>
            </w:r>
          </w:p>
        </w:tc>
      </w:tr>
      <w:tr>
        <w:tc>
          <w:tcPr>
            <w:tcW w:type="dxa" w:w="2400"/>
            <w:shd w:fill="F2F2F2" w:val="clear"/>
            <w:tcMar>
              <w:top w:type="dxa" w:w="60"/>
              <w:left w:type="dxa" w:w="100"/>
              <w:bottom w:type="dxa" w:w="60"/>
              <w:right w:type="dxa" w:w="100"/>
            </w:tcMar>
          </w:tcPr>
          <w:p>
            <w:pPr>
              <w:jc w:val="left"/>
            </w:pPr>
            <w:r>
              <w:rPr>
                <w:b w:val="false"/>
                <w:bCs w:val="false"/>
                <w:sz w:val="19"/>
                <w:szCs w:val="19"/>
              </w:rPr>
              <w:t xml:space="preserve">Find Teacher Post</w:t>
            </w:r>
          </w:p>
        </w:tc>
        <w:tc>
          <w:tcPr>
            <w:tcW w:type="dxa" w:w="3900"/>
            <w:shd w:fill="F2F2F2" w:val="clear"/>
            <w:tcMar>
              <w:top w:type="dxa" w:w="60"/>
              <w:left w:type="dxa" w:w="100"/>
              <w:bottom w:type="dxa" w:w="60"/>
              <w:right w:type="dxa" w:w="100"/>
            </w:tcMar>
          </w:tcPr>
          <w:p>
            <w:pPr>
              <w:jc w:val="center"/>
            </w:pPr>
            <w:r>
              <w:rPr>
                <w:b w:val="false"/>
                <w:bCs w:val="false"/>
                <w:sz w:val="19"/>
                <w:szCs w:val="19"/>
              </w:rPr>
              <w:t xml:space="preserve">App/portal for private-school jobs with notifications</w:t>
            </w:r>
          </w:p>
        </w:tc>
        <w:tc>
          <w:tcPr>
            <w:tcW w:type="dxa" w:w="3700"/>
            <w:shd w:fill="F2F2F2" w:val="clear"/>
            <w:tcMar>
              <w:top w:type="dxa" w:w="60"/>
              <w:left w:type="dxa" w:w="100"/>
              <w:bottom w:type="dxa" w:w="60"/>
              <w:right w:type="dxa" w:w="100"/>
            </w:tcMar>
          </w:tcPr>
          <w:p>
            <w:pPr>
              <w:jc w:val="center"/>
            </w:pPr>
            <w:r>
              <w:rPr>
                <w:b w:val="false"/>
                <w:bCs w:val="false"/>
                <w:sz w:val="19"/>
                <w:szCs w:val="19"/>
              </w:rPr>
              <w:t xml:space="preserve">Mobile-first but transactional only</w:t>
            </w:r>
          </w:p>
        </w:tc>
      </w:tr>
      <w:tr>
        <w:tc>
          <w:tcPr>
            <w:tcW w:type="dxa" w:w="2400"/>
            <w:tcMar>
              <w:top w:type="dxa" w:w="60"/>
              <w:left w:type="dxa" w:w="100"/>
              <w:bottom w:type="dxa" w:w="60"/>
              <w:right w:type="dxa" w:w="100"/>
            </w:tcMar>
          </w:tcPr>
          <w:p>
            <w:pPr>
              <w:jc w:val="left"/>
            </w:pPr>
            <w:r>
              <w:rPr>
                <w:b w:val="false"/>
                <w:bCs w:val="false"/>
                <w:sz w:val="19"/>
                <w:szCs w:val="19"/>
              </w:rPr>
              <w:t xml:space="preserve">Indiana Global Teachers</w:t>
            </w:r>
          </w:p>
        </w:tc>
        <w:tc>
          <w:tcPr>
            <w:tcW w:type="dxa" w:w="3900"/>
            <w:tcMar>
              <w:top w:type="dxa" w:w="60"/>
              <w:left w:type="dxa" w:w="100"/>
              <w:bottom w:type="dxa" w:w="60"/>
              <w:right w:type="dxa" w:w="100"/>
            </w:tcMar>
          </w:tcPr>
          <w:p>
            <w:pPr>
              <w:jc w:val="center"/>
            </w:pPr>
            <w:r>
              <w:rPr>
                <w:b w:val="false"/>
                <w:bCs w:val="false"/>
                <w:sz w:val="19"/>
                <w:szCs w:val="19"/>
              </w:rPr>
              <w:t xml:space="preserve">Mobile app (Android/iOS) to search and apply for roles</w:t>
            </w:r>
          </w:p>
        </w:tc>
        <w:tc>
          <w:tcPr>
            <w:tcW w:type="dxa" w:w="3700"/>
            <w:tcMar>
              <w:top w:type="dxa" w:w="60"/>
              <w:left w:type="dxa" w:w="100"/>
              <w:bottom w:type="dxa" w:w="60"/>
              <w:right w:type="dxa" w:w="100"/>
            </w:tcMar>
          </w:tcPr>
          <w:p>
            <w:pPr>
              <w:jc w:val="center"/>
            </w:pPr>
            <w:r>
              <w:rPr>
                <w:b w:val="false"/>
                <w:bCs w:val="false"/>
                <w:sz w:val="19"/>
                <w:szCs w:val="19"/>
              </w:rPr>
              <w:t xml:space="preserve">Search/apply only; no capacity-building angle</w:t>
            </w:r>
          </w:p>
        </w:tc>
      </w:tr>
    </w:tbl>
    <w:p>
      <w:pPr>
        <w:spacing w:after="160"/>
      </w:pPr>
      <w:r>
        <w:t xml:space="preserve">None of the identified competitors combine (a) a structured teacher profile and diagnostic assessment, (b) an employer-side quality/hiring dashboard, and (c) an upskilling/mentoring layer in one product. This is the whitespace Path-shaala's Phase-1 product scope (teacher profile + diagnostic baseline assessment + freemium mentoring; organisation-side pilot dashboard) is designed to occupy.</w:t>
      </w:r>
    </w:p>
    <w:p>
      <w:pPr>
        <w:pStyle w:val="Heading1"/>
        <w:spacing w:after="200" w:before="400"/>
      </w:pPr>
      <w:r>
        <w:t xml:space="preserve">10. Target Customer &amp; Go-to-Market Alignment</w:t>
      </w:r>
    </w:p>
    <w:p>
      <w:pPr>
        <w:spacing w:after="160"/>
      </w:pPr>
      <w:r>
        <w:t xml:space="preserve">The Phase-1 Ideal Customer Profile — NGO-led schools, CSR education initiatives, trust-run schools, and low-fee private schools in rural/semi-urban India — maps directly onto the data gathered in this report:</w:t>
      </w:r>
    </w:p>
    <w:p>
      <w:pPr>
        <w:pStyle w:val="ListParagraph"/>
        <w:numPr>
          <w:ilvl w:val="0"/>
          <w:numId w:val="1"/>
        </w:numPr>
        <w:spacing w:after="80"/>
      </w:pPr>
      <w:r>
        <w:rPr>
          <w:b/>
          <w:bCs/>
        </w:rPr>
        <w:t xml:space="preserve">Rural concentration: </w:t>
      </w:r>
      <w:r>
        <w:t xml:space="preserve">82% of schools and roughly three-quarters of teachers are rural, making this the largest addressable segment by headcount, not a niche.</w:t>
      </w:r>
    </w:p>
    <w:p>
      <w:pPr>
        <w:pStyle w:val="ListParagraph"/>
        <w:numPr>
          <w:ilvl w:val="0"/>
          <w:numId w:val="1"/>
        </w:numPr>
        <w:spacing w:after="80"/>
      </w:pPr>
      <w:r>
        <w:rPr>
          <w:b/>
          <w:bCs/>
        </w:rPr>
        <w:t xml:space="preserve">Structural understaffing: </w:t>
      </w:r>
      <w:r>
        <w:t xml:space="preserve">100,000+ single-teacher schools and vacancy rates of 32-40% in states like Bihar and Jharkhand mean chronic, recurring hiring need rather than one-off demand.</w:t>
      </w:r>
    </w:p>
    <w:p>
      <w:pPr>
        <w:pStyle w:val="ListParagraph"/>
        <w:numPr>
          <w:ilvl w:val="0"/>
          <w:numId w:val="1"/>
        </w:numPr>
        <w:spacing w:after="80"/>
      </w:pPr>
      <w:r>
        <w:rPr>
          <w:b/>
          <w:bCs/>
        </w:rPr>
        <w:t xml:space="preserve">Job insecurity as a retention lever: </w:t>
      </w:r>
      <w:r>
        <w:t xml:space="preserve">43% of teachers nationally hold no job contract at all, and pay in this segment (₹11,000-16,000/month for private primary/special-ed roles) is roughly 40-50% of government scale — meaning recognition, skill-building, and visibility (not just salary) are realistic, credible incentives to offer teachers, consistent with the GTM's non-monetary teacher acquisition strategy.</w:t>
      </w:r>
    </w:p>
    <w:p>
      <w:pPr>
        <w:pStyle w:val="ListParagraph"/>
        <w:numPr>
          <w:ilvl w:val="0"/>
          <w:numId w:val="1"/>
        </w:numPr>
        <w:spacing w:after="80"/>
      </w:pPr>
      <w:r>
        <w:rPr>
          <w:b/>
          <w:bCs/>
        </w:rPr>
        <w:t xml:space="preserve">Quality/assessment gap: </w:t>
      </w:r>
      <w:r>
        <w:t xml:space="preserve">underqualification in private unaided schools runs 41-61% depending on level, and this school type is largely unserved by any structured assessment tool today — validating the 'Teacher Quality Index' and diagnostic-assessment product wedge over a pure listings play.</w:t>
      </w:r>
    </w:p>
    <w:p>
      <w:pPr>
        <w:pStyle w:val="ListParagraph"/>
        <w:numPr>
          <w:ilvl w:val="0"/>
          <w:numId w:val="1"/>
        </w:numPr>
        <w:spacing w:after="80"/>
      </w:pPr>
      <w:r>
        <w:rPr>
          <w:b/>
          <w:bCs/>
        </w:rPr>
        <w:t xml:space="preserve">Low digital assumption: </w:t>
      </w:r>
      <w:r>
        <w:t xml:space="preserve">with rural internet access at only ~18% versus 47% urban, WhatsApp-based, mobile-first outreach (as planned in the Phase-1 channel strategy) is not just a growth hack but a practical necessity for this ICP.</w:t>
      </w:r>
    </w:p>
    <w:p>
      <w:pPr>
        <w:spacing w:after="240"/>
      </w:pPr>
      <w:r>
        <w:rPr>
          <w:i/>
          <w:iCs/>
          <w:color w:val="595959"/>
          <w:sz w:val="19"/>
          <w:szCs w:val="19"/>
        </w:rPr>
        <w:t xml:space="preserve">Taken together, the data supports treating rural/semi-urban NGO, trust, and low-fee private schools as a genuinely large first market (touching a meaningful share of a 3.96M-strong private-unaided teacher pool and a 0.76M-strong aided-school pool), not a testing ground before a 'real' urban market.</w:t>
      </w:r>
    </w:p>
    <w:p>
      <w:pPr>
        <w:pStyle w:val="Heading1"/>
        <w:spacing w:after="200" w:before="400"/>
      </w:pPr>
      <w:r>
        <w:t xml:space="preserve">11. Indicative Market Sizing</w:t>
      </w:r>
    </w:p>
    <w:p>
      <w:pPr>
        <w:spacing w:after="160"/>
      </w:pPr>
      <w:r>
        <w:t xml:space="preserve">The figures below are back-of-envelope sizing derived directly from the UDISE+ 2024-25 figures cited above. They are directional, not a substitute for primary market sizing research, and should be refined as pilot data comes in.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gridCol w:w="2000"/>
      </w:tblGrid>
      <w:tr>
        <w:trPr>
          <w:tblHeader/>
        </w:trPr>
        <w:tc>
          <w:tcPr>
            <w:tcW w:type="dxa" w:w="3000"/>
            <w:shd w:fill="13294B" w:val="clear"/>
            <w:tcMar>
              <w:top w:type="dxa" w:w="60"/>
              <w:left w:type="dxa" w:w="100"/>
              <w:bottom w:type="dxa" w:w="60"/>
              <w:right w:type="dxa" w:w="100"/>
            </w:tcMar>
          </w:tcPr>
          <w:p>
            <w:pPr>
              <w:jc w:val="center"/>
            </w:pPr>
            <w:r>
              <w:rPr>
                <w:b/>
                <w:bCs/>
                <w:color w:val="FFFFFF"/>
                <w:sz w:val="19"/>
                <w:szCs w:val="19"/>
              </w:rPr>
              <w:t xml:space="preserve">Layer</w:t>
            </w:r>
          </w:p>
        </w:tc>
        <w:tc>
          <w:tcPr>
            <w:tcW w:type="dxa" w:w="5000"/>
            <w:shd w:fill="13294B" w:val="clear"/>
            <w:tcMar>
              <w:top w:type="dxa" w:w="60"/>
              <w:left w:type="dxa" w:w="100"/>
              <w:bottom w:type="dxa" w:w="60"/>
              <w:right w:type="dxa" w:w="100"/>
            </w:tcMar>
          </w:tcPr>
          <w:p>
            <w:pPr>
              <w:jc w:val="center"/>
            </w:pPr>
            <w:r>
              <w:rPr>
                <w:b/>
                <w:bCs/>
                <w:color w:val="FFFFFF"/>
                <w:sz w:val="19"/>
                <w:szCs w:val="19"/>
              </w:rPr>
              <w:t xml:space="preserve">Definition</w:t>
            </w:r>
          </w:p>
        </w:tc>
        <w:tc>
          <w:tcPr>
            <w:tcW w:type="dxa" w:w="2000"/>
            <w:shd w:fill="13294B" w:val="clear"/>
            <w:tcMar>
              <w:top w:type="dxa" w:w="60"/>
              <w:left w:type="dxa" w:w="100"/>
              <w:bottom w:type="dxa" w:w="60"/>
              <w:right w:type="dxa" w:w="100"/>
            </w:tcMar>
          </w:tcPr>
          <w:p>
            <w:pPr>
              <w:jc w:val="center"/>
            </w:pPr>
            <w:r>
              <w:rPr>
                <w:b/>
                <w:bCs/>
                <w:color w:val="FFFFFF"/>
                <w:sz w:val="19"/>
                <w:szCs w:val="19"/>
              </w:rPr>
              <w:t xml:space="preserve">Approx. Size</w:t>
            </w:r>
          </w:p>
        </w:tc>
      </w:tr>
      <w:tr>
        <w:tc>
          <w:tcPr>
            <w:tcW w:type="dxa" w:w="3000"/>
            <w:tcMar>
              <w:top w:type="dxa" w:w="60"/>
              <w:left w:type="dxa" w:w="100"/>
              <w:bottom w:type="dxa" w:w="60"/>
              <w:right w:type="dxa" w:w="100"/>
            </w:tcMar>
          </w:tcPr>
          <w:p>
            <w:pPr>
              <w:jc w:val="left"/>
            </w:pPr>
            <w:r>
              <w:rPr>
                <w:b w:val="false"/>
                <w:bCs w:val="false"/>
                <w:sz w:val="19"/>
                <w:szCs w:val="19"/>
              </w:rPr>
              <w:t xml:space="preserve">TAM (Total teachers, India)</w:t>
            </w:r>
          </w:p>
        </w:tc>
        <w:tc>
          <w:tcPr>
            <w:tcW w:type="dxa" w:w="5000"/>
            <w:tcMar>
              <w:top w:type="dxa" w:w="60"/>
              <w:left w:type="dxa" w:w="100"/>
              <w:bottom w:type="dxa" w:w="60"/>
              <w:right w:type="dxa" w:w="100"/>
            </w:tcMar>
          </w:tcPr>
          <w:p>
            <w:pPr>
              <w:jc w:val="center"/>
            </w:pPr>
            <w:r>
              <w:rPr>
                <w:b w:val="false"/>
                <w:bCs w:val="false"/>
                <w:sz w:val="19"/>
                <w:szCs w:val="19"/>
              </w:rPr>
              <w:t xml:space="preserve">All K-12 teachers, all management types</w:t>
            </w:r>
          </w:p>
        </w:tc>
        <w:tc>
          <w:tcPr>
            <w:tcW w:type="dxa" w:w="2000"/>
            <w:tcMar>
              <w:top w:type="dxa" w:w="60"/>
              <w:left w:type="dxa" w:w="100"/>
              <w:bottom w:type="dxa" w:w="60"/>
              <w:right w:type="dxa" w:w="100"/>
            </w:tcMar>
          </w:tcPr>
          <w:p>
            <w:pPr>
              <w:jc w:val="center"/>
            </w:pPr>
            <w:r>
              <w:rPr>
                <w:b w:val="false"/>
                <w:bCs w:val="false"/>
                <w:sz w:val="19"/>
                <w:szCs w:val="19"/>
              </w:rPr>
              <w:t xml:space="preserve">10.12M teachers</w:t>
            </w:r>
          </w:p>
        </w:tc>
      </w:tr>
      <w:tr>
        <w:tc>
          <w:tcPr>
            <w:tcW w:type="dxa" w:w="3000"/>
            <w:shd w:fill="F2F2F2" w:val="clear"/>
            <w:tcMar>
              <w:top w:type="dxa" w:w="60"/>
              <w:left w:type="dxa" w:w="100"/>
              <w:bottom w:type="dxa" w:w="60"/>
              <w:right w:type="dxa" w:w="100"/>
            </w:tcMar>
          </w:tcPr>
          <w:p>
            <w:pPr>
              <w:jc w:val="left"/>
            </w:pPr>
            <w:r>
              <w:rPr>
                <w:b w:val="false"/>
                <w:bCs w:val="false"/>
                <w:sz w:val="19"/>
                <w:szCs w:val="19"/>
              </w:rPr>
              <w:t xml:space="preserve">SAM (Private + aided teachers)</w:t>
            </w:r>
          </w:p>
        </w:tc>
        <w:tc>
          <w:tcPr>
            <w:tcW w:type="dxa" w:w="5000"/>
            <w:shd w:fill="F2F2F2" w:val="clear"/>
            <w:tcMar>
              <w:top w:type="dxa" w:w="60"/>
              <w:left w:type="dxa" w:w="100"/>
              <w:bottom w:type="dxa" w:w="60"/>
              <w:right w:type="dxa" w:w="100"/>
            </w:tcMar>
          </w:tcPr>
          <w:p>
            <w:pPr>
              <w:jc w:val="center"/>
            </w:pPr>
            <w:r>
              <w:rPr>
                <w:b w:val="false"/>
                <w:bCs w:val="false"/>
                <w:sz w:val="19"/>
                <w:szCs w:val="19"/>
              </w:rPr>
              <w:t xml:space="preserve">Private unaided (3.96M) + government-aided (0.76M) — segments with discretionary, decentralised hiring</w:t>
            </w:r>
          </w:p>
        </w:tc>
        <w:tc>
          <w:tcPr>
            <w:tcW w:type="dxa" w:w="2000"/>
            <w:shd w:fill="F2F2F2" w:val="clear"/>
            <w:tcMar>
              <w:top w:type="dxa" w:w="60"/>
              <w:left w:type="dxa" w:w="100"/>
              <w:bottom w:type="dxa" w:w="60"/>
              <w:right w:type="dxa" w:w="100"/>
            </w:tcMar>
          </w:tcPr>
          <w:p>
            <w:pPr>
              <w:jc w:val="center"/>
            </w:pPr>
            <w:r>
              <w:rPr>
                <w:b w:val="false"/>
                <w:bCs w:val="false"/>
                <w:sz w:val="19"/>
                <w:szCs w:val="19"/>
              </w:rPr>
              <w:t xml:space="preserve">~4.7M teachers</w:t>
            </w:r>
          </w:p>
        </w:tc>
      </w:tr>
      <w:tr>
        <w:tc>
          <w:tcPr>
            <w:tcW w:type="dxa" w:w="3000"/>
            <w:tcMar>
              <w:top w:type="dxa" w:w="60"/>
              <w:left w:type="dxa" w:w="100"/>
              <w:bottom w:type="dxa" w:w="60"/>
              <w:right w:type="dxa" w:w="100"/>
            </w:tcMar>
          </w:tcPr>
          <w:p>
            <w:pPr>
              <w:jc w:val="left"/>
            </w:pPr>
            <w:r>
              <w:rPr>
                <w:b w:val="false"/>
                <w:bCs w:val="false"/>
                <w:sz w:val="19"/>
                <w:szCs w:val="19"/>
              </w:rPr>
              <w:t xml:space="preserve">SOM (Phase-1 target)</w:t>
            </w:r>
          </w:p>
        </w:tc>
        <w:tc>
          <w:tcPr>
            <w:tcW w:type="dxa" w:w="5000"/>
            <w:tcMar>
              <w:top w:type="dxa" w:w="60"/>
              <w:left w:type="dxa" w:w="100"/>
              <w:bottom w:type="dxa" w:w="60"/>
              <w:right w:type="dxa" w:w="100"/>
            </w:tcMar>
          </w:tcPr>
          <w:p>
            <w:pPr>
              <w:jc w:val="center"/>
            </w:pPr>
            <w:r>
              <w:rPr>
                <w:b w:val="false"/>
                <w:bCs w:val="false"/>
                <w:sz w:val="19"/>
                <w:szCs w:val="19"/>
              </w:rPr>
              <w:t xml:space="preserve">Rural/semi-urban NGO, trust, and low-fee private school teachers — subset of SAM</w:t>
            </w:r>
          </w:p>
        </w:tc>
        <w:tc>
          <w:tcPr>
            <w:tcW w:type="dxa" w:w="2000"/>
            <w:tcMar>
              <w:top w:type="dxa" w:w="60"/>
              <w:left w:type="dxa" w:w="100"/>
              <w:bottom w:type="dxa" w:w="60"/>
              <w:right w:type="dxa" w:w="100"/>
            </w:tcMar>
          </w:tcPr>
          <w:p>
            <w:pPr>
              <w:jc w:val="center"/>
            </w:pPr>
            <w:r>
              <w:rPr>
                <w:b w:val="false"/>
                <w:bCs w:val="false"/>
                <w:sz w:val="19"/>
                <w:szCs w:val="19"/>
              </w:rPr>
              <w:t xml:space="preserve">1,000-2,000 teachers onboarded in Phase 1A (stated pilot target); low-single-digit % of SAM</w:t>
            </w:r>
          </w:p>
        </w:tc>
      </w:tr>
    </w:tbl>
    <w:p>
      <w:pPr>
        <w:spacing w:after="240"/>
      </w:pPr>
      <w:r>
        <w:rPr>
          <w:i/>
          <w:iCs/>
          <w:color w:val="595959"/>
          <w:sz w:val="19"/>
          <w:szCs w:val="19"/>
        </w:rPr>
        <w:t xml:space="preserve">On the demand side, the organisation-level TAM is bounded by roughly 30% of India's 14.71 lakh schools (private + aided, ~4.3 lakh institutions), of which the Phase-1 plan targets 25-40 piloting organisations, scaling to 30-50 paying organisations by month 9.</w:t>
      </w:r>
    </w:p>
    <w:p>
      <w:pPr>
        <w:pStyle w:val="Heading1"/>
        <w:spacing w:after="200" w:before="400"/>
      </w:pPr>
      <w:r>
        <w:t xml:space="preserve">12. Key Takeaways for Strategy</w:t>
      </w:r>
    </w:p>
    <w:p>
      <w:pPr>
        <w:pStyle w:val="ListParagraph"/>
        <w:numPr>
          <w:ilvl w:val="0"/>
          <w:numId w:val="1"/>
        </w:numPr>
        <w:spacing w:after="80"/>
      </w:pPr>
      <w:r>
        <w:rPr>
          <w:b/>
          <w:bCs/>
        </w:rPr>
        <w:t xml:space="preserve">1. The problem is distribution, not scarcity. </w:t>
      </w:r>
      <w:r>
        <w:t xml:space="preserve">PTR and teacher-count trends look healthy in aggregate, but single-teacher schools, 32-40% state vacancy rates, and 43% contract-less employment show the real issue is matching and retention, which a network model is better suited to solve than a static listings site.</w:t>
      </w:r>
    </w:p>
    <w:p>
      <w:pPr>
        <w:pStyle w:val="ListParagraph"/>
        <w:numPr>
          <w:ilvl w:val="0"/>
          <w:numId w:val="1"/>
        </w:numPr>
        <w:spacing w:after="80"/>
      </w:pPr>
      <w:r>
        <w:rPr>
          <w:b/>
          <w:bCs/>
        </w:rPr>
        <w:t xml:space="preserve">2. The underserved segment is also the largest one. </w:t>
      </w:r>
      <w:r>
        <w:t xml:space="preserve">Rural, private-unaided, and NGO/trust schools are simultaneously the most under-resourced and the biggest by teacher headcount (3.96M in private unaided alone) — Phase-1 focus is not a compromise, it's the core market.</w:t>
      </w:r>
    </w:p>
    <w:p>
      <w:pPr>
        <w:pStyle w:val="ListParagraph"/>
        <w:numPr>
          <w:ilvl w:val="0"/>
          <w:numId w:val="1"/>
        </w:numPr>
        <w:spacing w:after="80"/>
      </w:pPr>
      <w:r>
        <w:rPr>
          <w:b/>
          <w:bCs/>
        </w:rPr>
        <w:t xml:space="preserve">3. Assessment and upskilling are the wedge, not job listings. </w:t>
      </w:r>
      <w:r>
        <w:t xml:space="preserve">Every existing competitor is a listings board; the qualification and training gaps documented here (up to 61% underqualified at senior-secondary private level) are unaddressed by any of them.</w:t>
      </w:r>
    </w:p>
    <w:p>
      <w:pPr>
        <w:pStyle w:val="ListParagraph"/>
        <w:numPr>
          <w:ilvl w:val="0"/>
          <w:numId w:val="1"/>
        </w:numPr>
        <w:spacing w:after="80"/>
      </w:pPr>
      <w:r>
        <w:rPr>
          <w:b/>
          <w:bCs/>
        </w:rPr>
        <w:t xml:space="preserve">4. NEP 2020 is a tailwind, not a headwind. </w:t>
      </w:r>
      <w:r>
        <w:t xml:space="preserve">School complexes, shared/mobile teachers, holistic assessment, and arts/sports integration all require infrastructure Path-shaala is building anyway — regulatory direction and product roadmap are aligned.</w:t>
      </w:r>
    </w:p>
    <w:p>
      <w:pPr>
        <w:pStyle w:val="ListParagraph"/>
        <w:numPr>
          <w:ilvl w:val="0"/>
          <w:numId w:val="1"/>
        </w:numPr>
        <w:spacing w:after="80"/>
      </w:pPr>
      <w:r>
        <w:rPr>
          <w:b/>
          <w:bCs/>
        </w:rPr>
        <w:t xml:space="preserve">5. Design for low-bandwidth, rural-first usage. </w:t>
      </w:r>
      <w:r>
        <w:t xml:space="preserve">Only 18% of rural schools have internet access; WhatsApp- and SMS-compatible workflows are a requirement, not a nice-to-have.</w:t>
      </w:r>
    </w:p>
    <w:p>
      <w:pPr>
        <w:pStyle w:val="ListParagraph"/>
        <w:numPr>
          <w:ilvl w:val="0"/>
          <w:numId w:val="1"/>
        </w:numPr>
        <w:spacing w:after="80"/>
      </w:pPr>
      <w:r>
        <w:rPr>
          <w:b/>
          <w:bCs/>
        </w:rPr>
        <w:t xml:space="preserve">6. Replacement demand is structural and long-dated. </w:t>
      </w:r>
      <w:r>
        <w:t xml:space="preserve">34.49% of the current teacher workforce will retire in the next 15-25 years, giving Path-shaala a multi-decade hiring cycle to serve beyond any single wave of net-new demand.</w:t>
      </w:r>
    </w:p>
    <w:p>
      <w:pPr>
        <w:pStyle w:val="Heading1"/>
        <w:spacing w:after="200" w:before="400"/>
      </w:pPr>
      <w:r>
        <w:t xml:space="preserve">13. Sources</w:t>
      </w:r>
    </w:p>
    <w:p>
      <w:pPr>
        <w:pStyle w:val="ListParagraph"/>
        <w:numPr>
          <w:ilvl w:val="0"/>
          <w:numId w:val="1"/>
        </w:numPr>
        <w:spacing w:after="80"/>
      </w:pPr>
      <w:r>
        <w:t xml:space="preserve">UDISE+ 2024-25 Dashboard and State Report Cards, Ministry of Education, Government of India</w:t>
      </w:r>
    </w:p>
    <w:p>
      <w:pPr>
        <w:pStyle w:val="ListParagraph"/>
        <w:numPr>
          <w:ilvl w:val="0"/>
          <w:numId w:val="1"/>
        </w:numPr>
        <w:spacing w:after="80"/>
      </w:pPr>
      <w:r>
        <w:t xml:space="preserve">Periodic Labour Force Survey (PLFS), 2018/19</w:t>
      </w:r>
    </w:p>
    <w:p>
      <w:pPr>
        <w:pStyle w:val="ListParagraph"/>
        <w:numPr>
          <w:ilvl w:val="0"/>
          <w:numId w:val="1"/>
        </w:numPr>
        <w:spacing w:after="80"/>
      </w:pPr>
      <w:r>
        <w:t xml:space="preserve">“No Teacher, No Class” — State of the Education Report for India 2021, UNESCO</w:t>
      </w:r>
    </w:p>
    <w:p>
      <w:pPr>
        <w:pStyle w:val="ListParagraph"/>
        <w:numPr>
          <w:ilvl w:val="0"/>
          <w:numId w:val="1"/>
        </w:numPr>
        <w:spacing w:after="80"/>
      </w:pPr>
      <w:r>
        <w:t xml:space="preserve">Report No. 349, Department-Related Parliamentary Standing Committee on Education, Women, Children, Youth and Sports (2023)</w:t>
      </w:r>
    </w:p>
    <w:p>
      <w:pPr>
        <w:pStyle w:val="ListParagraph"/>
        <w:numPr>
          <w:ilvl w:val="0"/>
          <w:numId w:val="1"/>
        </w:numPr>
        <w:spacing w:after="80"/>
      </w:pPr>
      <w:r>
        <w:t xml:space="preserve">CETE research team analyses, based on UDISE+ 2018/19 and PLFS 2018/19</w:t>
      </w:r>
    </w:p>
    <w:p>
      <w:pPr>
        <w:pStyle w:val="ListParagraph"/>
        <w:numPr>
          <w:ilvl w:val="0"/>
          <w:numId w:val="1"/>
        </w:numPr>
        <w:spacing w:after="80"/>
      </w:pPr>
      <w:r>
        <w:t xml:space="preserve">Education-for-All in India, compiled enrolment analyses</w:t>
      </w:r>
    </w:p>
    <w:p>
      <w:pPr>
        <w:pStyle w:val="ListParagraph"/>
        <w:numPr>
          <w:ilvl w:val="0"/>
          <w:numId w:val="1"/>
        </w:numPr>
        <w:spacing w:after="80"/>
      </w:pPr>
      <w:r>
        <w:t xml:space="preserve">Women Entrepreneurs Review — coverage of UNESCO teacher-shortage findings</w:t>
      </w:r>
    </w:p>
    <w:p>
      <w:pPr>
        <w:pStyle w:val="ListParagraph"/>
        <w:numPr>
          <w:ilvl w:val="0"/>
          <w:numId w:val="1"/>
        </w:numPr>
        <w:spacing w:after="80"/>
      </w:pPr>
      <w:r>
        <w:t xml:space="preserve">Competitor scan: EduHire360, educatorOne.com, TeachersJob.in/Teachersjob.pro, Teachingcareer.online, Teachers Recruiter, Find Teacher Post, Indiana Global Teachers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pPr>
    <w:rPr>
      <w:rFonts w:ascii="Calibri" w:cs="Calibri" w:eastAsia="Calibri" w:hAnsi="Calibri"/>
      <w:b/>
      <w:bCs/>
      <w:color w:val="13294B"/>
      <w:sz w:val="30"/>
      <w:szCs w:val="30"/>
    </w:rPr>
  </w:style>
  <w:style w:type="paragraph" w:styleId="Heading2">
    <w:name w:val="Heading 2"/>
    <w:basedOn w:val="Normal"/>
    <w:next w:val="Normal"/>
    <w:pPr>
      <w:spacing w:after="140" w:before="260"/>
    </w:pPr>
    <w:rPr>
      <w:rFonts w:ascii="Calibri" w:cs="Calibri" w:eastAsia="Calibri" w:hAnsi="Calibri"/>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2026-07-25T18:49:50.714Z</dcterms:created>
  <dcterms:modified xsi:type="dcterms:W3CDTF">2026-07-25T18:49:50.727Z</dcterms:modified>
</cp:coreProperties>
</file>

<file path=docProps/custom.xml><?xml version="1.0" encoding="utf-8"?>
<Properties xmlns="http://schemas.openxmlformats.org/officeDocument/2006/custom-properties" xmlns:vt="http://schemas.openxmlformats.org/officeDocument/2006/docPropsVTypes"/>
</file>