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5100B" w14:textId="77777777" w:rsidR="00A540ED" w:rsidRPr="00A40C6D" w:rsidRDefault="00000000">
      <w:pPr>
        <w:pStyle w:val="Title"/>
        <w:spacing w:after="100"/>
        <w:jc w:val="center"/>
        <w:rPr>
          <w:sz w:val="52"/>
          <w:szCs w:val="52"/>
        </w:rPr>
      </w:pPr>
      <w:r w:rsidRPr="00A40C6D">
        <w:rPr>
          <w:b/>
          <w:bCs/>
          <w:color w:val="000000"/>
          <w:sz w:val="52"/>
          <w:szCs w:val="52"/>
        </w:rPr>
        <w:t>Stock Market Fundamentals- Summary</w:t>
      </w:r>
    </w:p>
    <w:p w14:paraId="6B155AC6" w14:textId="77777777" w:rsidR="00A540ED" w:rsidRDefault="00000000">
      <w:pPr>
        <w:spacing w:after="300"/>
        <w:jc w:val="center"/>
      </w:pPr>
      <w:r>
        <w:rPr>
          <w:i/>
          <w:iCs/>
          <w:color w:val="000000"/>
          <w:sz w:val="22"/>
          <w:szCs w:val="22"/>
        </w:rPr>
        <w:t>FinTech Domain &amp; Software Development Fundamentals</w:t>
      </w:r>
    </w:p>
    <w:p w14:paraId="2D484389" w14:textId="77777777" w:rsidR="00A540ED" w:rsidRDefault="00A540ED" w:rsidP="00A40C6D">
      <w:pPr>
        <w:pBdr>
          <w:bottom w:val="single" w:sz="8" w:space="4" w:color="000000"/>
        </w:pBdr>
        <w:spacing w:after="240" w:line="276" w:lineRule="auto"/>
      </w:pPr>
    </w:p>
    <w:p w14:paraId="48539DEF" w14:textId="77777777" w:rsidR="00A540ED" w:rsidRDefault="00000000" w:rsidP="00A40C6D">
      <w:pPr>
        <w:spacing w:after="240" w:line="276" w:lineRule="auto"/>
      </w:pPr>
      <w:r>
        <w:rPr>
          <w:color w:val="000000"/>
          <w:sz w:val="22"/>
          <w:szCs w:val="22"/>
        </w:rPr>
        <w:t>This document provides a foundational reference for core stock market concepts used to interpret financial datasets, business reports, and market movements.</w:t>
      </w:r>
    </w:p>
    <w:p w14:paraId="4ADEB862" w14:textId="77777777" w:rsidR="00A540ED" w:rsidRDefault="00000000" w:rsidP="00A40C6D">
      <w:pPr>
        <w:pStyle w:val="ListParagraph"/>
        <w:numPr>
          <w:ilvl w:val="0"/>
          <w:numId w:val="2"/>
        </w:numPr>
        <w:spacing w:after="160" w:line="276" w:lineRule="auto"/>
      </w:pPr>
      <w:r>
        <w:rPr>
          <w:b/>
          <w:bCs/>
          <w:color w:val="000000"/>
          <w:sz w:val="22"/>
          <w:szCs w:val="22"/>
        </w:rPr>
        <w:t xml:space="preserve">Stock: </w:t>
      </w:r>
      <w:r>
        <w:rPr>
          <w:color w:val="000000"/>
          <w:sz w:val="22"/>
          <w:szCs w:val="22"/>
        </w:rPr>
        <w:t xml:space="preserve">A unit of ownership in a corporation; holding a share gives an investor </w:t>
      </w:r>
      <w:proofErr w:type="gramStart"/>
      <w:r>
        <w:rPr>
          <w:color w:val="000000"/>
          <w:sz w:val="22"/>
          <w:szCs w:val="22"/>
        </w:rPr>
        <w:t>proportionate claims</w:t>
      </w:r>
      <w:proofErr w:type="gramEnd"/>
      <w:r>
        <w:rPr>
          <w:color w:val="000000"/>
          <w:sz w:val="22"/>
          <w:szCs w:val="22"/>
        </w:rPr>
        <w:t xml:space="preserve"> on profits and residual assets.</w:t>
      </w:r>
    </w:p>
    <w:p w14:paraId="5D546A48" w14:textId="77777777" w:rsidR="00A540ED" w:rsidRDefault="00000000" w:rsidP="00A40C6D">
      <w:pPr>
        <w:pStyle w:val="ListParagraph"/>
        <w:numPr>
          <w:ilvl w:val="0"/>
          <w:numId w:val="2"/>
        </w:numPr>
        <w:spacing w:after="160" w:line="276" w:lineRule="auto"/>
      </w:pPr>
      <w:r>
        <w:rPr>
          <w:b/>
          <w:bCs/>
          <w:color w:val="000000"/>
          <w:sz w:val="22"/>
          <w:szCs w:val="22"/>
        </w:rPr>
        <w:t xml:space="preserve">Stock Market: </w:t>
      </w:r>
      <w:r>
        <w:rPr>
          <w:color w:val="000000"/>
          <w:sz w:val="22"/>
          <w:szCs w:val="22"/>
        </w:rPr>
        <w:t>A regulated financial marketplace comprising the primary market (where new securities are issued via IPOs) and the secondary market (where existing securities are traded among investors).</w:t>
      </w:r>
    </w:p>
    <w:p w14:paraId="0A7E2E77" w14:textId="77777777" w:rsidR="00A540ED" w:rsidRDefault="00000000" w:rsidP="00A40C6D">
      <w:pPr>
        <w:pStyle w:val="ListParagraph"/>
        <w:numPr>
          <w:ilvl w:val="0"/>
          <w:numId w:val="2"/>
        </w:numPr>
        <w:spacing w:after="160" w:line="276" w:lineRule="auto"/>
      </w:pPr>
      <w:r>
        <w:rPr>
          <w:b/>
          <w:bCs/>
          <w:color w:val="000000"/>
          <w:sz w:val="22"/>
          <w:szCs w:val="22"/>
        </w:rPr>
        <w:t xml:space="preserve">NSE &amp; BSE: </w:t>
      </w:r>
      <w:r>
        <w:rPr>
          <w:color w:val="000000"/>
          <w:sz w:val="22"/>
          <w:szCs w:val="22"/>
        </w:rPr>
        <w:t>India's two premier equity exchanges. The National Stock Exchange (NSE, established 1992) trades the Nifty 50 benchmark with dominant liquidity; the Bombay Stock Exchange (BSE, established 1875) is Asia’s oldest exchange and tracks the Sensex.</w:t>
      </w:r>
    </w:p>
    <w:p w14:paraId="25C94AB2" w14:textId="77777777" w:rsidR="00A540ED" w:rsidRDefault="00000000" w:rsidP="00A40C6D">
      <w:pPr>
        <w:pStyle w:val="ListParagraph"/>
        <w:numPr>
          <w:ilvl w:val="0"/>
          <w:numId w:val="2"/>
        </w:numPr>
        <w:spacing w:after="160" w:line="276" w:lineRule="auto"/>
      </w:pPr>
      <w:r>
        <w:rPr>
          <w:b/>
          <w:bCs/>
          <w:color w:val="000000"/>
          <w:sz w:val="22"/>
          <w:szCs w:val="22"/>
        </w:rPr>
        <w:t xml:space="preserve">Nifty &amp; Sensex: </w:t>
      </w:r>
      <w:r>
        <w:rPr>
          <w:color w:val="000000"/>
          <w:sz w:val="22"/>
          <w:szCs w:val="22"/>
        </w:rPr>
        <w:t>Primary benchmark indices used to gauge general market direction: Nifty 50 tracks the 50 largest, most liquid stocks on the NSE, while Sensex tracks 30 well-established firms on the BSE.</w:t>
      </w:r>
    </w:p>
    <w:p w14:paraId="364362BC" w14:textId="77777777" w:rsidR="00A540ED" w:rsidRDefault="00000000" w:rsidP="00A40C6D">
      <w:pPr>
        <w:pStyle w:val="ListParagraph"/>
        <w:numPr>
          <w:ilvl w:val="0"/>
          <w:numId w:val="2"/>
        </w:numPr>
        <w:spacing w:after="160" w:line="276" w:lineRule="auto"/>
      </w:pPr>
      <w:r>
        <w:rPr>
          <w:b/>
          <w:bCs/>
          <w:color w:val="000000"/>
          <w:sz w:val="22"/>
          <w:szCs w:val="22"/>
        </w:rPr>
        <w:t xml:space="preserve">IPO &amp; SME IPO: </w:t>
      </w:r>
      <w:r>
        <w:rPr>
          <w:color w:val="000000"/>
          <w:sz w:val="22"/>
          <w:szCs w:val="22"/>
        </w:rPr>
        <w:t>An Initial Public Offering (IPO) is a private company’s first sale of equity to public institutional and retail investors. An SME IPO follows the same structure but operates on specialized platforms with relaxed listing norms tailored for small-to-mid enterprises.</w:t>
      </w:r>
    </w:p>
    <w:p w14:paraId="522F987E" w14:textId="77777777" w:rsidR="00A540ED" w:rsidRDefault="00000000" w:rsidP="00A40C6D">
      <w:pPr>
        <w:pStyle w:val="ListParagraph"/>
        <w:numPr>
          <w:ilvl w:val="0"/>
          <w:numId w:val="2"/>
        </w:numPr>
        <w:spacing w:after="160" w:line="276" w:lineRule="auto"/>
      </w:pPr>
      <w:r>
        <w:rPr>
          <w:b/>
          <w:bCs/>
          <w:color w:val="000000"/>
          <w:sz w:val="22"/>
          <w:szCs w:val="22"/>
        </w:rPr>
        <w:t xml:space="preserve">Market Capitalization: </w:t>
      </w:r>
      <w:r>
        <w:rPr>
          <w:color w:val="000000"/>
          <w:sz w:val="22"/>
          <w:szCs w:val="22"/>
        </w:rPr>
        <w:t>Share Price × Total Shares Outstanding. Groups listed companies into large-cap, mid-cap, and small-cap segments based on enterprise scale.</w:t>
      </w:r>
    </w:p>
    <w:p w14:paraId="06F9FD95" w14:textId="77777777" w:rsidR="00A540ED" w:rsidRDefault="00000000" w:rsidP="00A40C6D">
      <w:pPr>
        <w:pStyle w:val="ListParagraph"/>
        <w:numPr>
          <w:ilvl w:val="0"/>
          <w:numId w:val="2"/>
        </w:numPr>
        <w:spacing w:after="160" w:line="276" w:lineRule="auto"/>
      </w:pPr>
      <w:r>
        <w:rPr>
          <w:b/>
          <w:bCs/>
          <w:color w:val="000000"/>
          <w:sz w:val="22"/>
          <w:szCs w:val="22"/>
        </w:rPr>
        <w:t xml:space="preserve">Share Price: </w:t>
      </w:r>
      <w:r>
        <w:rPr>
          <w:color w:val="000000"/>
          <w:sz w:val="22"/>
          <w:szCs w:val="22"/>
        </w:rPr>
        <w:t>The real-time market-clearing price of a single share determined by order-book supply, demand, corporate earnings, and macro sentiment; it does not indicate valuation or cheapness in isolation.</w:t>
      </w:r>
    </w:p>
    <w:p w14:paraId="3F81EE82" w14:textId="77777777" w:rsidR="00A540ED" w:rsidRDefault="00000000" w:rsidP="00A40C6D">
      <w:pPr>
        <w:pStyle w:val="ListParagraph"/>
        <w:numPr>
          <w:ilvl w:val="0"/>
          <w:numId w:val="2"/>
        </w:numPr>
        <w:spacing w:after="160" w:line="276" w:lineRule="auto"/>
      </w:pPr>
      <w:r>
        <w:rPr>
          <w:b/>
          <w:bCs/>
          <w:color w:val="000000"/>
          <w:sz w:val="22"/>
          <w:szCs w:val="22"/>
        </w:rPr>
        <w:t xml:space="preserve">EPS (Earnings Per Share): </w:t>
      </w:r>
      <w:r>
        <w:rPr>
          <w:color w:val="000000"/>
          <w:sz w:val="22"/>
          <w:szCs w:val="22"/>
        </w:rPr>
        <w:t>Net Profit divided by total outstanding common shares. Gauges unit-level corporate profitability.</w:t>
      </w:r>
    </w:p>
    <w:p w14:paraId="76A7BF99" w14:textId="77777777" w:rsidR="00A540ED" w:rsidRDefault="00000000" w:rsidP="00A40C6D">
      <w:pPr>
        <w:pStyle w:val="ListParagraph"/>
        <w:numPr>
          <w:ilvl w:val="0"/>
          <w:numId w:val="2"/>
        </w:numPr>
        <w:spacing w:after="160" w:line="276" w:lineRule="auto"/>
      </w:pPr>
      <w:r>
        <w:rPr>
          <w:b/>
          <w:bCs/>
          <w:color w:val="000000"/>
          <w:sz w:val="22"/>
          <w:szCs w:val="22"/>
        </w:rPr>
        <w:t xml:space="preserve">P/E Ratio (Price-to-Earnings): </w:t>
      </w:r>
      <w:r>
        <w:rPr>
          <w:color w:val="000000"/>
          <w:sz w:val="22"/>
          <w:szCs w:val="22"/>
        </w:rPr>
        <w:t>Market Share Price divided by EPS. Shows what investors pay per rupee of annual earnings; must be benchmarked against peers in the same industry rather than across sectors.</w:t>
      </w:r>
    </w:p>
    <w:p w14:paraId="1C6E50A3" w14:textId="77777777" w:rsidR="00A540ED" w:rsidRDefault="00000000" w:rsidP="00A40C6D">
      <w:pPr>
        <w:pStyle w:val="ListParagraph"/>
        <w:numPr>
          <w:ilvl w:val="0"/>
          <w:numId w:val="2"/>
        </w:numPr>
        <w:spacing w:after="160" w:line="276" w:lineRule="auto"/>
      </w:pPr>
      <w:r>
        <w:rPr>
          <w:b/>
          <w:bCs/>
          <w:color w:val="000000"/>
          <w:sz w:val="22"/>
          <w:szCs w:val="22"/>
        </w:rPr>
        <w:t xml:space="preserve">P/B Ratio (Price-to-Book): </w:t>
      </w:r>
      <w:r>
        <w:rPr>
          <w:color w:val="000000"/>
          <w:sz w:val="22"/>
          <w:szCs w:val="22"/>
        </w:rPr>
        <w:t>Share Price divided by Book Value per Share. Compares market valuation to balance sheet accounting net worth; primarily useful for evaluating capital-intensive and financial firms.</w:t>
      </w:r>
    </w:p>
    <w:p w14:paraId="4F184106" w14:textId="77777777" w:rsidR="00A540ED" w:rsidRDefault="00000000" w:rsidP="00A40C6D">
      <w:pPr>
        <w:pStyle w:val="ListParagraph"/>
        <w:numPr>
          <w:ilvl w:val="0"/>
          <w:numId w:val="2"/>
        </w:numPr>
        <w:spacing w:after="160" w:line="276" w:lineRule="auto"/>
      </w:pPr>
      <w:r>
        <w:rPr>
          <w:b/>
          <w:bCs/>
          <w:color w:val="000000"/>
          <w:sz w:val="22"/>
          <w:szCs w:val="22"/>
        </w:rPr>
        <w:lastRenderedPageBreak/>
        <w:t xml:space="preserve">Dividend: </w:t>
      </w:r>
      <w:r>
        <w:rPr>
          <w:color w:val="000000"/>
          <w:sz w:val="22"/>
          <w:szCs w:val="22"/>
        </w:rPr>
        <w:t>Direct distribution of company net earnings to shareholders, expressed as dividend per share or dividend yield; mature cash-flow positive firms distribute higher payouts than early-stage growth firms.</w:t>
      </w:r>
    </w:p>
    <w:p w14:paraId="70836BC7" w14:textId="77777777" w:rsidR="00A540ED" w:rsidRDefault="00000000" w:rsidP="00A40C6D">
      <w:pPr>
        <w:pStyle w:val="ListParagraph"/>
        <w:numPr>
          <w:ilvl w:val="0"/>
          <w:numId w:val="2"/>
        </w:numPr>
        <w:spacing w:after="160" w:line="276" w:lineRule="auto"/>
      </w:pPr>
      <w:r>
        <w:rPr>
          <w:b/>
          <w:bCs/>
          <w:color w:val="000000"/>
          <w:sz w:val="22"/>
          <w:szCs w:val="22"/>
        </w:rPr>
        <w:t xml:space="preserve">Bonus Issue &amp; Stock Split: </w:t>
      </w:r>
      <w:r>
        <w:rPr>
          <w:color w:val="000000"/>
          <w:sz w:val="22"/>
          <w:szCs w:val="22"/>
        </w:rPr>
        <w:t>Bonus shares are additional shares distributed free to existing holders from accumulated reserves; a stock split subdivides existing shares into smaller units. Both enhance liquidity and reduce unit nominal price without altering total equity value.</w:t>
      </w:r>
    </w:p>
    <w:p w14:paraId="7CCAA102" w14:textId="77777777" w:rsidR="00A540ED" w:rsidRDefault="00000000" w:rsidP="00A40C6D">
      <w:pPr>
        <w:pStyle w:val="ListParagraph"/>
        <w:numPr>
          <w:ilvl w:val="0"/>
          <w:numId w:val="2"/>
        </w:numPr>
        <w:spacing w:after="160" w:line="276" w:lineRule="auto"/>
      </w:pPr>
      <w:r>
        <w:rPr>
          <w:b/>
          <w:bCs/>
          <w:color w:val="000000"/>
          <w:sz w:val="22"/>
          <w:szCs w:val="22"/>
        </w:rPr>
        <w:t xml:space="preserve">Trading Volume: </w:t>
      </w:r>
      <w:r>
        <w:rPr>
          <w:color w:val="000000"/>
          <w:sz w:val="22"/>
          <w:szCs w:val="22"/>
        </w:rPr>
        <w:t>The aggregate number of shares transacted across an exchange over a designated period. High trading volume validates the structural conviction behind price moves.</w:t>
      </w:r>
    </w:p>
    <w:p w14:paraId="048FC357" w14:textId="77777777" w:rsidR="00A540ED" w:rsidRDefault="00000000" w:rsidP="00A40C6D">
      <w:pPr>
        <w:pStyle w:val="ListParagraph"/>
        <w:numPr>
          <w:ilvl w:val="0"/>
          <w:numId w:val="2"/>
        </w:numPr>
        <w:spacing w:after="160" w:line="276" w:lineRule="auto"/>
      </w:pPr>
      <w:r>
        <w:rPr>
          <w:b/>
          <w:bCs/>
          <w:color w:val="000000"/>
          <w:sz w:val="22"/>
          <w:szCs w:val="22"/>
        </w:rPr>
        <w:t xml:space="preserve">Corporate Financial Statements: </w:t>
      </w:r>
      <w:r>
        <w:rPr>
          <w:color w:val="000000"/>
          <w:sz w:val="22"/>
          <w:szCs w:val="22"/>
        </w:rPr>
        <w:t>The core three-statement framework (Balance Sheet, Profit &amp; Loss Statement, and Cash Flow Statement) collectively communicates enterprise financial health, profitability, and solvency.</w:t>
      </w:r>
    </w:p>
    <w:p w14:paraId="1A458C97" w14:textId="77777777" w:rsidR="00A540ED" w:rsidRDefault="00000000" w:rsidP="00A40C6D">
      <w:pPr>
        <w:pStyle w:val="ListParagraph"/>
        <w:numPr>
          <w:ilvl w:val="0"/>
          <w:numId w:val="2"/>
        </w:numPr>
        <w:spacing w:after="160" w:line="276" w:lineRule="auto"/>
      </w:pPr>
      <w:r>
        <w:rPr>
          <w:b/>
          <w:bCs/>
          <w:color w:val="000000"/>
          <w:sz w:val="22"/>
          <w:szCs w:val="22"/>
        </w:rPr>
        <w:t xml:space="preserve">Balance Sheet: </w:t>
      </w:r>
      <w:r>
        <w:rPr>
          <w:color w:val="000000"/>
          <w:sz w:val="22"/>
          <w:szCs w:val="22"/>
        </w:rPr>
        <w:t>A financial snapshot at a single reporting date governed by Assets = Liabilities + Shareholders' Equity.</w:t>
      </w:r>
    </w:p>
    <w:p w14:paraId="792F483B" w14:textId="77777777" w:rsidR="00A540ED" w:rsidRDefault="00000000" w:rsidP="00A40C6D">
      <w:pPr>
        <w:pStyle w:val="ListParagraph"/>
        <w:numPr>
          <w:ilvl w:val="0"/>
          <w:numId w:val="2"/>
        </w:numPr>
        <w:spacing w:after="160" w:line="276" w:lineRule="auto"/>
      </w:pPr>
      <w:r>
        <w:rPr>
          <w:b/>
          <w:bCs/>
          <w:color w:val="000000"/>
          <w:sz w:val="22"/>
          <w:szCs w:val="22"/>
        </w:rPr>
        <w:t xml:space="preserve">Profit &amp; Loss (P&amp;L) Statement: </w:t>
      </w:r>
      <w:r>
        <w:rPr>
          <w:color w:val="000000"/>
          <w:sz w:val="22"/>
          <w:szCs w:val="22"/>
        </w:rPr>
        <w:t>Summarizes operational performance across an accounting period: Revenue − Expenses = Net Profit.</w:t>
      </w:r>
    </w:p>
    <w:p w14:paraId="25F2F54C" w14:textId="77777777" w:rsidR="00A540ED" w:rsidRDefault="00000000" w:rsidP="00A40C6D">
      <w:pPr>
        <w:pStyle w:val="ListParagraph"/>
        <w:numPr>
          <w:ilvl w:val="0"/>
          <w:numId w:val="2"/>
        </w:numPr>
        <w:spacing w:after="160" w:line="276" w:lineRule="auto"/>
      </w:pPr>
      <w:r>
        <w:rPr>
          <w:b/>
          <w:bCs/>
          <w:color w:val="000000"/>
          <w:sz w:val="22"/>
          <w:szCs w:val="22"/>
        </w:rPr>
        <w:t xml:space="preserve">Cash Flow Statement: </w:t>
      </w:r>
      <w:r>
        <w:rPr>
          <w:color w:val="000000"/>
          <w:sz w:val="22"/>
          <w:szCs w:val="22"/>
        </w:rPr>
        <w:t>Reconciles accounting profit with real cash transactions across Operating, Investing, and Financing activities.</w:t>
      </w:r>
    </w:p>
    <w:p w14:paraId="74B933CE" w14:textId="77777777" w:rsidR="00A540ED" w:rsidRDefault="00000000" w:rsidP="00A40C6D">
      <w:pPr>
        <w:pStyle w:val="ListParagraph"/>
        <w:numPr>
          <w:ilvl w:val="0"/>
          <w:numId w:val="2"/>
        </w:numPr>
        <w:spacing w:after="160" w:line="276" w:lineRule="auto"/>
      </w:pPr>
      <w:r>
        <w:rPr>
          <w:b/>
          <w:bCs/>
          <w:color w:val="000000"/>
          <w:sz w:val="22"/>
          <w:szCs w:val="22"/>
        </w:rPr>
        <w:t xml:space="preserve">Basic Financial Ratios: </w:t>
      </w:r>
      <w:r>
        <w:rPr>
          <w:color w:val="000000"/>
          <w:sz w:val="22"/>
          <w:szCs w:val="22"/>
        </w:rPr>
        <w:t>Return on Equity (ROE), Return on Assets (ROA), Debt-to-Equity (D/E), Current Ratio, and Net Margin—utilized alongside market multiples to assess capital efficiency and operational stability.</w:t>
      </w:r>
    </w:p>
    <w:sectPr w:rsidR="00A540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431"/>
    <w:multiLevelType w:val="hybridMultilevel"/>
    <w:tmpl w:val="626665C2"/>
    <w:lvl w:ilvl="0" w:tplc="39F60DEE">
      <w:start w:val="1"/>
      <w:numFmt w:val="bullet"/>
      <w:lvlText w:val="•"/>
      <w:lvlJc w:val="left"/>
      <w:pPr>
        <w:ind w:left="360" w:hanging="360"/>
      </w:pPr>
    </w:lvl>
    <w:lvl w:ilvl="1" w:tplc="B62AED9C">
      <w:numFmt w:val="decimal"/>
      <w:lvlText w:val=""/>
      <w:lvlJc w:val="left"/>
    </w:lvl>
    <w:lvl w:ilvl="2" w:tplc="FB3AAD66">
      <w:numFmt w:val="decimal"/>
      <w:lvlText w:val=""/>
      <w:lvlJc w:val="left"/>
    </w:lvl>
    <w:lvl w:ilvl="3" w:tplc="BBC2AD0A">
      <w:numFmt w:val="decimal"/>
      <w:lvlText w:val=""/>
      <w:lvlJc w:val="left"/>
    </w:lvl>
    <w:lvl w:ilvl="4" w:tplc="DBEC68CA">
      <w:numFmt w:val="decimal"/>
      <w:lvlText w:val=""/>
      <w:lvlJc w:val="left"/>
    </w:lvl>
    <w:lvl w:ilvl="5" w:tplc="799A889C">
      <w:numFmt w:val="decimal"/>
      <w:lvlText w:val=""/>
      <w:lvlJc w:val="left"/>
    </w:lvl>
    <w:lvl w:ilvl="6" w:tplc="4A9A5704">
      <w:numFmt w:val="decimal"/>
      <w:lvlText w:val=""/>
      <w:lvlJc w:val="left"/>
    </w:lvl>
    <w:lvl w:ilvl="7" w:tplc="AE7EBFD0">
      <w:numFmt w:val="decimal"/>
      <w:lvlText w:val=""/>
      <w:lvlJc w:val="left"/>
    </w:lvl>
    <w:lvl w:ilvl="8" w:tplc="27F8B852">
      <w:numFmt w:val="decimal"/>
      <w:lvlText w:val=""/>
      <w:lvlJc w:val="left"/>
    </w:lvl>
  </w:abstractNum>
  <w:abstractNum w:abstractNumId="1" w15:restartNumberingAfterBreak="0">
    <w:nsid w:val="09B35677"/>
    <w:multiLevelType w:val="hybridMultilevel"/>
    <w:tmpl w:val="BB3C7E4E"/>
    <w:lvl w:ilvl="0" w:tplc="FE8AB9BE">
      <w:start w:val="1"/>
      <w:numFmt w:val="bullet"/>
      <w:lvlText w:val="●"/>
      <w:lvlJc w:val="left"/>
      <w:pPr>
        <w:ind w:left="720" w:hanging="360"/>
      </w:pPr>
    </w:lvl>
    <w:lvl w:ilvl="1" w:tplc="1F903152">
      <w:start w:val="1"/>
      <w:numFmt w:val="bullet"/>
      <w:lvlText w:val="○"/>
      <w:lvlJc w:val="left"/>
      <w:pPr>
        <w:ind w:left="1440" w:hanging="360"/>
      </w:pPr>
    </w:lvl>
    <w:lvl w:ilvl="2" w:tplc="94703252">
      <w:start w:val="1"/>
      <w:numFmt w:val="bullet"/>
      <w:lvlText w:val="■"/>
      <w:lvlJc w:val="left"/>
      <w:pPr>
        <w:ind w:left="2160" w:hanging="360"/>
      </w:pPr>
    </w:lvl>
    <w:lvl w:ilvl="3" w:tplc="DEBA07A0">
      <w:start w:val="1"/>
      <w:numFmt w:val="bullet"/>
      <w:lvlText w:val="●"/>
      <w:lvlJc w:val="left"/>
      <w:pPr>
        <w:ind w:left="2880" w:hanging="360"/>
      </w:pPr>
    </w:lvl>
    <w:lvl w:ilvl="4" w:tplc="07C8D7A8">
      <w:start w:val="1"/>
      <w:numFmt w:val="bullet"/>
      <w:lvlText w:val="○"/>
      <w:lvlJc w:val="left"/>
      <w:pPr>
        <w:ind w:left="3600" w:hanging="360"/>
      </w:pPr>
    </w:lvl>
    <w:lvl w:ilvl="5" w:tplc="EA762D4E">
      <w:start w:val="1"/>
      <w:numFmt w:val="bullet"/>
      <w:lvlText w:val="■"/>
      <w:lvlJc w:val="left"/>
      <w:pPr>
        <w:ind w:left="4320" w:hanging="360"/>
      </w:pPr>
    </w:lvl>
    <w:lvl w:ilvl="6" w:tplc="6FC0A656">
      <w:start w:val="1"/>
      <w:numFmt w:val="bullet"/>
      <w:lvlText w:val="●"/>
      <w:lvlJc w:val="left"/>
      <w:pPr>
        <w:ind w:left="5040" w:hanging="360"/>
      </w:pPr>
    </w:lvl>
    <w:lvl w:ilvl="7" w:tplc="CE1EFC8E">
      <w:start w:val="1"/>
      <w:numFmt w:val="bullet"/>
      <w:lvlText w:val="●"/>
      <w:lvlJc w:val="left"/>
      <w:pPr>
        <w:ind w:left="5760" w:hanging="360"/>
      </w:pPr>
    </w:lvl>
    <w:lvl w:ilvl="8" w:tplc="83A85284">
      <w:start w:val="1"/>
      <w:numFmt w:val="bullet"/>
      <w:lvlText w:val="●"/>
      <w:lvlJc w:val="left"/>
      <w:pPr>
        <w:ind w:left="6480" w:hanging="360"/>
      </w:pPr>
    </w:lvl>
  </w:abstractNum>
  <w:num w:numId="1" w16cid:durableId="1008680376">
    <w:abstractNumId w:val="1"/>
    <w:lvlOverride w:ilvl="0">
      <w:startOverride w:val="1"/>
    </w:lvlOverride>
  </w:num>
  <w:num w:numId="2" w16cid:durableId="113603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0ED"/>
    <w:rsid w:val="0036251B"/>
    <w:rsid w:val="00A40C6D"/>
    <w:rsid w:val="00A54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8152"/>
  <w15:docId w15:val="{03257E99-05AB-44B1-9A12-4748ECF4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Sambhavya Nayak</cp:lastModifiedBy>
  <cp:revision>2</cp:revision>
  <dcterms:created xsi:type="dcterms:W3CDTF">2026-09-14T21:10:00Z</dcterms:created>
  <dcterms:modified xsi:type="dcterms:W3CDTF">2026-09-14T21:10:00Z</dcterms:modified>
</cp:coreProperties>
</file>