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FA394" w14:textId="77777777" w:rsidR="008E6BC6" w:rsidRPr="00314737" w:rsidRDefault="00000000">
      <w:pPr>
        <w:pStyle w:val="Title"/>
        <w:spacing w:after="60"/>
        <w:jc w:val="center"/>
        <w:rPr>
          <w:sz w:val="52"/>
          <w:szCs w:val="52"/>
        </w:rPr>
      </w:pPr>
      <w:r w:rsidRPr="00314737">
        <w:rPr>
          <w:b/>
          <w:bCs/>
          <w:color w:val="000000"/>
          <w:sz w:val="52"/>
          <w:szCs w:val="52"/>
        </w:rPr>
        <w:t>Financial Statement Analysis: Infosys Ltd</w:t>
      </w:r>
    </w:p>
    <w:p w14:paraId="146332C5" w14:textId="77777777" w:rsidR="008E6BC6" w:rsidRDefault="00000000">
      <w:pPr>
        <w:spacing w:after="100"/>
        <w:jc w:val="center"/>
      </w:pPr>
      <w:r>
        <w:rPr>
          <w:b/>
          <w:bCs/>
          <w:color w:val="000000"/>
          <w:sz w:val="24"/>
          <w:szCs w:val="24"/>
        </w:rPr>
        <w:t>(NSE / BSE: INFY)</w:t>
      </w:r>
    </w:p>
    <w:p w14:paraId="3C9F666A" w14:textId="77777777" w:rsidR="008E6BC6" w:rsidRDefault="00000000">
      <w:pPr>
        <w:spacing w:after="300"/>
        <w:jc w:val="center"/>
      </w:pPr>
      <w:r>
        <w:rPr>
          <w:i/>
          <w:iCs/>
          <w:color w:val="000000"/>
          <w:sz w:val="22"/>
          <w:szCs w:val="22"/>
        </w:rPr>
        <w:t>FinTech Domain &amp; Software Development Fundamentals</w:t>
      </w:r>
    </w:p>
    <w:p w14:paraId="4A28C8D9" w14:textId="77777777" w:rsidR="008E6BC6" w:rsidRDefault="008E6BC6">
      <w:pPr>
        <w:pBdr>
          <w:bottom w:val="single" w:sz="8" w:space="4" w:color="000000"/>
        </w:pBdr>
        <w:spacing w:after="240"/>
      </w:pPr>
    </w:p>
    <w:p w14:paraId="19AE0C98" w14:textId="77777777" w:rsidR="008E6BC6" w:rsidRDefault="00000000">
      <w:pPr>
        <w:spacing w:before="320" w:after="160"/>
      </w:pPr>
      <w:r>
        <w:rPr>
          <w:b/>
          <w:bCs/>
          <w:color w:val="000000"/>
          <w:sz w:val="28"/>
          <w:szCs w:val="28"/>
        </w:rPr>
        <w:t>Executive Summary</w:t>
      </w:r>
    </w:p>
    <w:p w14:paraId="4525DBF1" w14:textId="77777777" w:rsidR="008E6BC6" w:rsidRDefault="00000000" w:rsidP="00314737">
      <w:pPr>
        <w:spacing w:after="200"/>
      </w:pPr>
      <w:r>
        <w:rPr>
          <w:color w:val="000000"/>
          <w:sz w:val="22"/>
          <w:szCs w:val="22"/>
        </w:rPr>
        <w:t xml:space="preserve">Infosys Ltd is a large-cap global IT consulting and digital services enterprise listed on the NSE and BSE. This report </w:t>
      </w:r>
      <w:proofErr w:type="spellStart"/>
      <w:r>
        <w:rPr>
          <w:color w:val="000000"/>
          <w:sz w:val="22"/>
          <w:szCs w:val="22"/>
        </w:rPr>
        <w:t>analyzes</w:t>
      </w:r>
      <w:proofErr w:type="spellEnd"/>
      <w:r>
        <w:rPr>
          <w:color w:val="000000"/>
          <w:sz w:val="22"/>
          <w:szCs w:val="22"/>
        </w:rPr>
        <w:t xml:space="preserve"> Infosys’s audited consolidated financial statements (IFRS) across FY2025 and FY2026 alongside market multiples as of September 11, 2026, pairing quantitative financial data with qualitative business insights.</w:t>
      </w:r>
    </w:p>
    <w:p w14:paraId="58737348" w14:textId="77777777" w:rsidR="008E6BC6" w:rsidRDefault="00000000" w:rsidP="00314737">
      <w:pPr>
        <w:spacing w:before="320" w:after="160"/>
      </w:pPr>
      <w:r>
        <w:rPr>
          <w:b/>
          <w:bCs/>
          <w:color w:val="000000"/>
          <w:sz w:val="28"/>
          <w:szCs w:val="28"/>
        </w:rPr>
        <w:t>1. Market &amp; Valuation Overview (as of 11 Sep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5060"/>
      </w:tblGrid>
      <w:tr w:rsidR="008E6BC6" w14:paraId="1600BB53" w14:textId="77777777">
        <w:tblPrEx>
          <w:tblCellMar>
            <w:top w:w="0" w:type="dxa"/>
            <w:bottom w:w="0" w:type="dxa"/>
          </w:tblCellMar>
        </w:tblPrEx>
        <w:trPr>
          <w:tblHeader/>
        </w:trPr>
        <w:tc>
          <w:tcPr>
            <w:tcW w:w="2400" w:type="dxa"/>
            <w:shd w:val="clear" w:color="auto" w:fill="D9D9D9"/>
            <w:tcMar>
              <w:top w:w="100" w:type="dxa"/>
              <w:left w:w="120" w:type="dxa"/>
              <w:bottom w:w="100" w:type="dxa"/>
              <w:right w:w="120" w:type="dxa"/>
            </w:tcMar>
            <w:vAlign w:val="center"/>
          </w:tcPr>
          <w:p w14:paraId="601A7CFA" w14:textId="77777777" w:rsidR="008E6BC6" w:rsidRDefault="00000000" w:rsidP="00314737">
            <w:r>
              <w:rPr>
                <w:b/>
                <w:bCs/>
                <w:color w:val="000000"/>
                <w:sz w:val="22"/>
                <w:szCs w:val="22"/>
              </w:rPr>
              <w:t>Metric</w:t>
            </w:r>
          </w:p>
        </w:tc>
        <w:tc>
          <w:tcPr>
            <w:tcW w:w="1900" w:type="dxa"/>
            <w:shd w:val="clear" w:color="auto" w:fill="D9D9D9"/>
            <w:tcMar>
              <w:top w:w="100" w:type="dxa"/>
              <w:left w:w="120" w:type="dxa"/>
              <w:bottom w:w="100" w:type="dxa"/>
              <w:right w:w="120" w:type="dxa"/>
            </w:tcMar>
            <w:vAlign w:val="center"/>
          </w:tcPr>
          <w:p w14:paraId="73396B44" w14:textId="77777777" w:rsidR="008E6BC6" w:rsidRDefault="00000000" w:rsidP="00314737">
            <w:r>
              <w:rPr>
                <w:b/>
                <w:bCs/>
                <w:color w:val="000000"/>
                <w:sz w:val="22"/>
                <w:szCs w:val="22"/>
              </w:rPr>
              <w:t>Recorded Value</w:t>
            </w:r>
          </w:p>
        </w:tc>
        <w:tc>
          <w:tcPr>
            <w:tcW w:w="5060" w:type="dxa"/>
            <w:shd w:val="clear" w:color="auto" w:fill="D9D9D9"/>
            <w:tcMar>
              <w:top w:w="100" w:type="dxa"/>
              <w:left w:w="120" w:type="dxa"/>
              <w:bottom w:w="100" w:type="dxa"/>
              <w:right w:w="120" w:type="dxa"/>
            </w:tcMar>
            <w:vAlign w:val="center"/>
          </w:tcPr>
          <w:p w14:paraId="7CD517D8" w14:textId="77777777" w:rsidR="008E6BC6" w:rsidRDefault="00000000" w:rsidP="00314737">
            <w:r>
              <w:rPr>
                <w:b/>
                <w:bCs/>
                <w:color w:val="000000"/>
                <w:sz w:val="22"/>
                <w:szCs w:val="22"/>
              </w:rPr>
              <w:t>Context &amp; Interpretation</w:t>
            </w:r>
          </w:p>
        </w:tc>
      </w:tr>
      <w:tr w:rsidR="008E6BC6" w14:paraId="223EEA72" w14:textId="77777777">
        <w:tblPrEx>
          <w:tblCellMar>
            <w:top w:w="0" w:type="dxa"/>
            <w:bottom w:w="0" w:type="dxa"/>
          </w:tblCellMar>
        </w:tblPrEx>
        <w:tc>
          <w:tcPr>
            <w:tcW w:w="2400" w:type="dxa"/>
            <w:tcMar>
              <w:top w:w="90" w:type="dxa"/>
              <w:left w:w="120" w:type="dxa"/>
              <w:bottom w:w="90" w:type="dxa"/>
              <w:right w:w="120" w:type="dxa"/>
            </w:tcMar>
            <w:vAlign w:val="center"/>
          </w:tcPr>
          <w:p w14:paraId="351F0A63" w14:textId="77777777" w:rsidR="008E6BC6" w:rsidRDefault="00000000" w:rsidP="00314737">
            <w:r>
              <w:rPr>
                <w:b/>
                <w:bCs/>
                <w:color w:val="000000"/>
                <w:sz w:val="22"/>
                <w:szCs w:val="22"/>
              </w:rPr>
              <w:t>Share Price</w:t>
            </w:r>
          </w:p>
        </w:tc>
        <w:tc>
          <w:tcPr>
            <w:tcW w:w="1900" w:type="dxa"/>
            <w:tcMar>
              <w:top w:w="90" w:type="dxa"/>
              <w:left w:w="120" w:type="dxa"/>
              <w:bottom w:w="90" w:type="dxa"/>
              <w:right w:w="120" w:type="dxa"/>
            </w:tcMar>
            <w:vAlign w:val="center"/>
          </w:tcPr>
          <w:p w14:paraId="02DE4A64" w14:textId="77777777" w:rsidR="008E6BC6" w:rsidRDefault="00000000" w:rsidP="00314737">
            <w:r>
              <w:rPr>
                <w:color w:val="000000"/>
                <w:sz w:val="22"/>
                <w:szCs w:val="22"/>
              </w:rPr>
              <w:t>₹1,038</w:t>
            </w:r>
          </w:p>
        </w:tc>
        <w:tc>
          <w:tcPr>
            <w:tcW w:w="5060" w:type="dxa"/>
            <w:tcMar>
              <w:top w:w="90" w:type="dxa"/>
              <w:left w:w="120" w:type="dxa"/>
              <w:bottom w:w="90" w:type="dxa"/>
              <w:right w:w="120" w:type="dxa"/>
            </w:tcMar>
            <w:vAlign w:val="center"/>
          </w:tcPr>
          <w:p w14:paraId="24D88A50" w14:textId="77777777" w:rsidR="008E6BC6" w:rsidRDefault="00000000" w:rsidP="00314737">
            <w:r>
              <w:rPr>
                <w:color w:val="000000"/>
                <w:sz w:val="22"/>
                <w:szCs w:val="22"/>
              </w:rPr>
              <w:t>Market close price on NSE (11 Sep 2026)</w:t>
            </w:r>
          </w:p>
        </w:tc>
      </w:tr>
      <w:tr w:rsidR="008E6BC6" w14:paraId="19844453"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62B4D78D" w14:textId="77777777" w:rsidR="008E6BC6" w:rsidRDefault="00000000" w:rsidP="00314737">
            <w:r>
              <w:rPr>
                <w:b/>
                <w:bCs/>
                <w:color w:val="000000"/>
                <w:sz w:val="22"/>
                <w:szCs w:val="22"/>
              </w:rPr>
              <w:t>Market Capitalization</w:t>
            </w:r>
          </w:p>
        </w:tc>
        <w:tc>
          <w:tcPr>
            <w:tcW w:w="1900" w:type="dxa"/>
            <w:shd w:val="clear" w:color="auto" w:fill="F2F2F2"/>
            <w:tcMar>
              <w:top w:w="90" w:type="dxa"/>
              <w:left w:w="120" w:type="dxa"/>
              <w:bottom w:w="90" w:type="dxa"/>
              <w:right w:w="120" w:type="dxa"/>
            </w:tcMar>
            <w:vAlign w:val="center"/>
          </w:tcPr>
          <w:p w14:paraId="4EBE28A5" w14:textId="77777777" w:rsidR="008E6BC6" w:rsidRDefault="00000000" w:rsidP="00314737">
            <w:r>
              <w:rPr>
                <w:color w:val="000000"/>
                <w:sz w:val="22"/>
                <w:szCs w:val="22"/>
              </w:rPr>
              <w:t>₹4,20,636 Cr</w:t>
            </w:r>
          </w:p>
        </w:tc>
        <w:tc>
          <w:tcPr>
            <w:tcW w:w="5060" w:type="dxa"/>
            <w:shd w:val="clear" w:color="auto" w:fill="F2F2F2"/>
            <w:tcMar>
              <w:top w:w="90" w:type="dxa"/>
              <w:left w:w="120" w:type="dxa"/>
              <w:bottom w:w="90" w:type="dxa"/>
              <w:right w:w="120" w:type="dxa"/>
            </w:tcMar>
            <w:vAlign w:val="center"/>
          </w:tcPr>
          <w:p w14:paraId="702A1569" w14:textId="77777777" w:rsidR="008E6BC6" w:rsidRDefault="00000000" w:rsidP="00314737">
            <w:r>
              <w:rPr>
                <w:color w:val="000000"/>
                <w:sz w:val="22"/>
                <w:szCs w:val="22"/>
              </w:rPr>
              <w:t>Large-cap segment leader</w:t>
            </w:r>
          </w:p>
        </w:tc>
      </w:tr>
      <w:tr w:rsidR="008E6BC6" w14:paraId="4406BD52" w14:textId="77777777">
        <w:tblPrEx>
          <w:tblCellMar>
            <w:top w:w="0" w:type="dxa"/>
            <w:bottom w:w="0" w:type="dxa"/>
          </w:tblCellMar>
        </w:tblPrEx>
        <w:tc>
          <w:tcPr>
            <w:tcW w:w="2400" w:type="dxa"/>
            <w:tcMar>
              <w:top w:w="90" w:type="dxa"/>
              <w:left w:w="120" w:type="dxa"/>
              <w:bottom w:w="90" w:type="dxa"/>
              <w:right w:w="120" w:type="dxa"/>
            </w:tcMar>
            <w:vAlign w:val="center"/>
          </w:tcPr>
          <w:p w14:paraId="023DDC47" w14:textId="77777777" w:rsidR="008E6BC6" w:rsidRDefault="00000000" w:rsidP="00314737">
            <w:r>
              <w:rPr>
                <w:b/>
                <w:bCs/>
                <w:color w:val="000000"/>
                <w:sz w:val="22"/>
                <w:szCs w:val="22"/>
              </w:rPr>
              <w:t>P/E Ratio (TTM)</w:t>
            </w:r>
          </w:p>
        </w:tc>
        <w:tc>
          <w:tcPr>
            <w:tcW w:w="1900" w:type="dxa"/>
            <w:tcMar>
              <w:top w:w="90" w:type="dxa"/>
              <w:left w:w="120" w:type="dxa"/>
              <w:bottom w:w="90" w:type="dxa"/>
              <w:right w:w="120" w:type="dxa"/>
            </w:tcMar>
            <w:vAlign w:val="center"/>
          </w:tcPr>
          <w:p w14:paraId="1A384525" w14:textId="77777777" w:rsidR="008E6BC6" w:rsidRDefault="00000000" w:rsidP="00314737">
            <w:r>
              <w:rPr>
                <w:color w:val="000000"/>
                <w:sz w:val="22"/>
                <w:szCs w:val="22"/>
              </w:rPr>
              <w:t>13.8x</w:t>
            </w:r>
          </w:p>
        </w:tc>
        <w:tc>
          <w:tcPr>
            <w:tcW w:w="5060" w:type="dxa"/>
            <w:tcMar>
              <w:top w:w="90" w:type="dxa"/>
              <w:left w:w="120" w:type="dxa"/>
              <w:bottom w:w="90" w:type="dxa"/>
              <w:right w:w="120" w:type="dxa"/>
            </w:tcMar>
            <w:vAlign w:val="center"/>
          </w:tcPr>
          <w:p w14:paraId="7BC15C81" w14:textId="77777777" w:rsidR="008E6BC6" w:rsidRDefault="00000000" w:rsidP="00314737">
            <w:r>
              <w:rPr>
                <w:color w:val="000000"/>
                <w:sz w:val="22"/>
                <w:szCs w:val="22"/>
              </w:rPr>
              <w:t>Substantial discount against 3–5 year mean (~24x)</w:t>
            </w:r>
          </w:p>
        </w:tc>
      </w:tr>
      <w:tr w:rsidR="008E6BC6" w14:paraId="5C080454"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5199C163" w14:textId="77777777" w:rsidR="008E6BC6" w:rsidRDefault="00000000" w:rsidP="00314737">
            <w:r>
              <w:rPr>
                <w:b/>
                <w:bCs/>
                <w:color w:val="000000"/>
                <w:sz w:val="22"/>
                <w:szCs w:val="22"/>
              </w:rPr>
              <w:t>P/B Ratio</w:t>
            </w:r>
          </w:p>
        </w:tc>
        <w:tc>
          <w:tcPr>
            <w:tcW w:w="1900" w:type="dxa"/>
            <w:shd w:val="clear" w:color="auto" w:fill="F2F2F2"/>
            <w:tcMar>
              <w:top w:w="90" w:type="dxa"/>
              <w:left w:w="120" w:type="dxa"/>
              <w:bottom w:w="90" w:type="dxa"/>
              <w:right w:w="120" w:type="dxa"/>
            </w:tcMar>
            <w:vAlign w:val="center"/>
          </w:tcPr>
          <w:p w14:paraId="129CE190" w14:textId="77777777" w:rsidR="008E6BC6" w:rsidRDefault="00000000" w:rsidP="00314737">
            <w:r>
              <w:rPr>
                <w:color w:val="000000"/>
                <w:sz w:val="22"/>
                <w:szCs w:val="22"/>
              </w:rPr>
              <w:t>4.7x – 4.9x</w:t>
            </w:r>
          </w:p>
        </w:tc>
        <w:tc>
          <w:tcPr>
            <w:tcW w:w="5060" w:type="dxa"/>
            <w:shd w:val="clear" w:color="auto" w:fill="F2F2F2"/>
            <w:tcMar>
              <w:top w:w="90" w:type="dxa"/>
              <w:left w:w="120" w:type="dxa"/>
              <w:bottom w:w="90" w:type="dxa"/>
              <w:right w:w="120" w:type="dxa"/>
            </w:tcMar>
            <w:vAlign w:val="center"/>
          </w:tcPr>
          <w:p w14:paraId="278608B0" w14:textId="77777777" w:rsidR="008E6BC6" w:rsidRDefault="00000000" w:rsidP="00314737">
            <w:r>
              <w:rPr>
                <w:color w:val="000000"/>
                <w:sz w:val="22"/>
                <w:szCs w:val="22"/>
              </w:rPr>
              <w:t>Typical of an asset-light, intellectual-capital-driven model</w:t>
            </w:r>
          </w:p>
        </w:tc>
      </w:tr>
      <w:tr w:rsidR="008E6BC6" w14:paraId="20045326" w14:textId="77777777">
        <w:tblPrEx>
          <w:tblCellMar>
            <w:top w:w="0" w:type="dxa"/>
            <w:bottom w:w="0" w:type="dxa"/>
          </w:tblCellMar>
        </w:tblPrEx>
        <w:tc>
          <w:tcPr>
            <w:tcW w:w="2400" w:type="dxa"/>
            <w:tcMar>
              <w:top w:w="90" w:type="dxa"/>
              <w:left w:w="120" w:type="dxa"/>
              <w:bottom w:w="90" w:type="dxa"/>
              <w:right w:w="120" w:type="dxa"/>
            </w:tcMar>
            <w:vAlign w:val="center"/>
          </w:tcPr>
          <w:p w14:paraId="3A9AF3CA" w14:textId="77777777" w:rsidR="008E6BC6" w:rsidRDefault="00000000" w:rsidP="00314737">
            <w:r>
              <w:rPr>
                <w:b/>
                <w:bCs/>
                <w:color w:val="000000"/>
                <w:sz w:val="22"/>
                <w:szCs w:val="22"/>
              </w:rPr>
              <w:t>EPS (TTM)</w:t>
            </w:r>
          </w:p>
        </w:tc>
        <w:tc>
          <w:tcPr>
            <w:tcW w:w="1900" w:type="dxa"/>
            <w:tcMar>
              <w:top w:w="90" w:type="dxa"/>
              <w:left w:w="120" w:type="dxa"/>
              <w:bottom w:w="90" w:type="dxa"/>
              <w:right w:w="120" w:type="dxa"/>
            </w:tcMar>
            <w:vAlign w:val="center"/>
          </w:tcPr>
          <w:p w14:paraId="65876E16" w14:textId="77777777" w:rsidR="008E6BC6" w:rsidRDefault="00000000" w:rsidP="00314737">
            <w:r>
              <w:rPr>
                <w:color w:val="000000"/>
                <w:sz w:val="22"/>
                <w:szCs w:val="22"/>
              </w:rPr>
              <w:t>₹74.7 – ₹76.7</w:t>
            </w:r>
          </w:p>
        </w:tc>
        <w:tc>
          <w:tcPr>
            <w:tcW w:w="5060" w:type="dxa"/>
            <w:tcMar>
              <w:top w:w="90" w:type="dxa"/>
              <w:left w:w="120" w:type="dxa"/>
              <w:bottom w:w="90" w:type="dxa"/>
              <w:right w:w="120" w:type="dxa"/>
            </w:tcMar>
            <w:vAlign w:val="center"/>
          </w:tcPr>
          <w:p w14:paraId="17973CCD" w14:textId="77777777" w:rsidR="008E6BC6" w:rsidRDefault="00000000" w:rsidP="00314737">
            <w:r>
              <w:rPr>
                <w:color w:val="000000"/>
                <w:sz w:val="22"/>
                <w:szCs w:val="22"/>
              </w:rPr>
              <w:t>Trailing twelve months profitability per share</w:t>
            </w:r>
          </w:p>
        </w:tc>
      </w:tr>
      <w:tr w:rsidR="008E6BC6" w14:paraId="1C3A241B"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60F6A801" w14:textId="77777777" w:rsidR="008E6BC6" w:rsidRDefault="00000000" w:rsidP="00314737">
            <w:r>
              <w:rPr>
                <w:b/>
                <w:bCs/>
                <w:color w:val="000000"/>
                <w:sz w:val="22"/>
                <w:szCs w:val="22"/>
              </w:rPr>
              <w:t>Dividend Yield</w:t>
            </w:r>
          </w:p>
        </w:tc>
        <w:tc>
          <w:tcPr>
            <w:tcW w:w="1900" w:type="dxa"/>
            <w:shd w:val="clear" w:color="auto" w:fill="F2F2F2"/>
            <w:tcMar>
              <w:top w:w="90" w:type="dxa"/>
              <w:left w:w="120" w:type="dxa"/>
              <w:bottom w:w="90" w:type="dxa"/>
              <w:right w:w="120" w:type="dxa"/>
            </w:tcMar>
            <w:vAlign w:val="center"/>
          </w:tcPr>
          <w:p w14:paraId="719807FA" w14:textId="77777777" w:rsidR="008E6BC6" w:rsidRDefault="00000000" w:rsidP="00314737">
            <w:r>
              <w:rPr>
                <w:color w:val="000000"/>
                <w:sz w:val="22"/>
                <w:szCs w:val="22"/>
              </w:rPr>
              <w:t>~4.6%</w:t>
            </w:r>
          </w:p>
        </w:tc>
        <w:tc>
          <w:tcPr>
            <w:tcW w:w="5060" w:type="dxa"/>
            <w:shd w:val="clear" w:color="auto" w:fill="F2F2F2"/>
            <w:tcMar>
              <w:top w:w="90" w:type="dxa"/>
              <w:left w:w="120" w:type="dxa"/>
              <w:bottom w:w="90" w:type="dxa"/>
              <w:right w:w="120" w:type="dxa"/>
            </w:tcMar>
            <w:vAlign w:val="center"/>
          </w:tcPr>
          <w:p w14:paraId="7076E4F3" w14:textId="77777777" w:rsidR="008E6BC6" w:rsidRDefault="00000000" w:rsidP="00314737">
            <w:r>
              <w:rPr>
                <w:color w:val="000000"/>
                <w:sz w:val="22"/>
                <w:szCs w:val="22"/>
              </w:rPr>
              <w:t>Well above standard technology-sector baselines</w:t>
            </w:r>
          </w:p>
        </w:tc>
      </w:tr>
      <w:tr w:rsidR="008E6BC6" w14:paraId="160EBC2D" w14:textId="77777777">
        <w:tblPrEx>
          <w:tblCellMar>
            <w:top w:w="0" w:type="dxa"/>
            <w:bottom w:w="0" w:type="dxa"/>
          </w:tblCellMar>
        </w:tblPrEx>
        <w:tc>
          <w:tcPr>
            <w:tcW w:w="2400" w:type="dxa"/>
            <w:tcMar>
              <w:top w:w="90" w:type="dxa"/>
              <w:left w:w="120" w:type="dxa"/>
              <w:bottom w:w="90" w:type="dxa"/>
              <w:right w:w="120" w:type="dxa"/>
            </w:tcMar>
            <w:vAlign w:val="center"/>
          </w:tcPr>
          <w:p w14:paraId="7D87F3F3" w14:textId="77777777" w:rsidR="008E6BC6" w:rsidRDefault="00000000" w:rsidP="00314737">
            <w:r>
              <w:rPr>
                <w:b/>
                <w:bCs/>
                <w:color w:val="000000"/>
                <w:sz w:val="22"/>
                <w:szCs w:val="22"/>
              </w:rPr>
              <w:t>Return on Equity (ROE)</w:t>
            </w:r>
          </w:p>
        </w:tc>
        <w:tc>
          <w:tcPr>
            <w:tcW w:w="1900" w:type="dxa"/>
            <w:tcMar>
              <w:top w:w="90" w:type="dxa"/>
              <w:left w:w="120" w:type="dxa"/>
              <w:bottom w:w="90" w:type="dxa"/>
              <w:right w:w="120" w:type="dxa"/>
            </w:tcMar>
            <w:vAlign w:val="center"/>
          </w:tcPr>
          <w:p w14:paraId="63A6B0CE" w14:textId="77777777" w:rsidR="008E6BC6" w:rsidRDefault="00000000" w:rsidP="00314737">
            <w:r>
              <w:rPr>
                <w:color w:val="000000"/>
                <w:sz w:val="22"/>
                <w:szCs w:val="22"/>
              </w:rPr>
              <w:t>~31.6% – 34.7%</w:t>
            </w:r>
          </w:p>
        </w:tc>
        <w:tc>
          <w:tcPr>
            <w:tcW w:w="5060" w:type="dxa"/>
            <w:tcMar>
              <w:top w:w="90" w:type="dxa"/>
              <w:left w:w="120" w:type="dxa"/>
              <w:bottom w:w="90" w:type="dxa"/>
              <w:right w:w="120" w:type="dxa"/>
            </w:tcMar>
            <w:vAlign w:val="center"/>
          </w:tcPr>
          <w:p w14:paraId="0CD9AEAC" w14:textId="77777777" w:rsidR="008E6BC6" w:rsidRDefault="00000000" w:rsidP="00314737">
            <w:r>
              <w:rPr>
                <w:color w:val="000000"/>
                <w:sz w:val="22"/>
                <w:szCs w:val="22"/>
              </w:rPr>
              <w:t>Exceptional capital efficiency and net profit generation</w:t>
            </w:r>
          </w:p>
        </w:tc>
      </w:tr>
    </w:tbl>
    <w:p w14:paraId="4E55CCF5" w14:textId="77777777" w:rsidR="008E6BC6" w:rsidRDefault="00000000" w:rsidP="00314737">
      <w:pPr>
        <w:spacing w:before="320" w:after="160"/>
      </w:pPr>
      <w:r>
        <w:rPr>
          <w:b/>
          <w:bCs/>
          <w:color w:val="000000"/>
          <w:sz w:val="28"/>
          <w:szCs w:val="28"/>
        </w:rPr>
        <w:t>2. Consolidated Profit &amp; Loss Statement &amp; Insights</w:t>
      </w:r>
    </w:p>
    <w:p w14:paraId="4CA4BF33" w14:textId="77777777" w:rsidR="008E6BC6" w:rsidRDefault="00000000" w:rsidP="00314737">
      <w:pPr>
        <w:spacing w:after="160"/>
      </w:pPr>
      <w:r>
        <w:rPr>
          <w:i/>
          <w:iCs/>
          <w:color w:val="000000"/>
          <w:sz w:val="22"/>
          <w:szCs w:val="22"/>
        </w:rPr>
        <w:t>Figures in ₹ Crore (Consolidated, IFRS)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300"/>
        <w:gridCol w:w="2860"/>
      </w:tblGrid>
      <w:tr w:rsidR="008E6BC6" w14:paraId="2B6B4F2F" w14:textId="77777777">
        <w:tblPrEx>
          <w:tblCellMar>
            <w:top w:w="0" w:type="dxa"/>
            <w:bottom w:w="0" w:type="dxa"/>
          </w:tblCellMar>
        </w:tblPrEx>
        <w:trPr>
          <w:tblHeader/>
        </w:trPr>
        <w:tc>
          <w:tcPr>
            <w:tcW w:w="2400" w:type="dxa"/>
            <w:shd w:val="clear" w:color="auto" w:fill="D9D9D9"/>
            <w:tcMar>
              <w:top w:w="100" w:type="dxa"/>
              <w:left w:w="120" w:type="dxa"/>
              <w:bottom w:w="100" w:type="dxa"/>
              <w:right w:w="120" w:type="dxa"/>
            </w:tcMar>
            <w:vAlign w:val="center"/>
          </w:tcPr>
          <w:p w14:paraId="6747EC74" w14:textId="77777777" w:rsidR="008E6BC6" w:rsidRDefault="00000000" w:rsidP="00314737">
            <w:r>
              <w:rPr>
                <w:b/>
                <w:bCs/>
                <w:color w:val="000000"/>
                <w:sz w:val="22"/>
                <w:szCs w:val="22"/>
              </w:rPr>
              <w:t>Metric / Line Item</w:t>
            </w:r>
          </w:p>
        </w:tc>
        <w:tc>
          <w:tcPr>
            <w:tcW w:w="1400" w:type="dxa"/>
            <w:shd w:val="clear" w:color="auto" w:fill="D9D9D9"/>
            <w:tcMar>
              <w:top w:w="100" w:type="dxa"/>
              <w:left w:w="120" w:type="dxa"/>
              <w:bottom w:w="100" w:type="dxa"/>
              <w:right w:w="120" w:type="dxa"/>
            </w:tcMar>
            <w:vAlign w:val="center"/>
          </w:tcPr>
          <w:p w14:paraId="4D4711AE" w14:textId="77777777" w:rsidR="008E6BC6" w:rsidRDefault="00000000" w:rsidP="00314737">
            <w:r>
              <w:rPr>
                <w:b/>
                <w:bCs/>
                <w:color w:val="000000"/>
                <w:sz w:val="22"/>
                <w:szCs w:val="22"/>
              </w:rPr>
              <w:t>FY2025</w:t>
            </w:r>
          </w:p>
        </w:tc>
        <w:tc>
          <w:tcPr>
            <w:tcW w:w="1400" w:type="dxa"/>
            <w:shd w:val="clear" w:color="auto" w:fill="D9D9D9"/>
            <w:tcMar>
              <w:top w:w="100" w:type="dxa"/>
              <w:left w:w="120" w:type="dxa"/>
              <w:bottom w:w="100" w:type="dxa"/>
              <w:right w:w="120" w:type="dxa"/>
            </w:tcMar>
            <w:vAlign w:val="center"/>
          </w:tcPr>
          <w:p w14:paraId="3A7E1D7F" w14:textId="77777777" w:rsidR="008E6BC6" w:rsidRDefault="00000000" w:rsidP="00314737">
            <w:r>
              <w:rPr>
                <w:b/>
                <w:bCs/>
                <w:color w:val="000000"/>
                <w:sz w:val="22"/>
                <w:szCs w:val="22"/>
              </w:rPr>
              <w:t>FY2026</w:t>
            </w:r>
          </w:p>
        </w:tc>
        <w:tc>
          <w:tcPr>
            <w:tcW w:w="1300" w:type="dxa"/>
            <w:shd w:val="clear" w:color="auto" w:fill="D9D9D9"/>
            <w:tcMar>
              <w:top w:w="100" w:type="dxa"/>
              <w:left w:w="120" w:type="dxa"/>
              <w:bottom w:w="100" w:type="dxa"/>
              <w:right w:w="120" w:type="dxa"/>
            </w:tcMar>
            <w:vAlign w:val="center"/>
          </w:tcPr>
          <w:p w14:paraId="133E7073" w14:textId="77777777" w:rsidR="008E6BC6" w:rsidRDefault="00000000" w:rsidP="00314737">
            <w:r>
              <w:rPr>
                <w:b/>
                <w:bCs/>
                <w:color w:val="000000"/>
                <w:sz w:val="22"/>
                <w:szCs w:val="22"/>
              </w:rPr>
              <w:t>YoY Change</w:t>
            </w:r>
          </w:p>
        </w:tc>
        <w:tc>
          <w:tcPr>
            <w:tcW w:w="2860" w:type="dxa"/>
            <w:shd w:val="clear" w:color="auto" w:fill="D9D9D9"/>
            <w:tcMar>
              <w:top w:w="100" w:type="dxa"/>
              <w:left w:w="120" w:type="dxa"/>
              <w:bottom w:w="100" w:type="dxa"/>
              <w:right w:w="120" w:type="dxa"/>
            </w:tcMar>
            <w:vAlign w:val="center"/>
          </w:tcPr>
          <w:p w14:paraId="5D6CA10D" w14:textId="77777777" w:rsidR="008E6BC6" w:rsidRDefault="00000000" w:rsidP="00314737">
            <w:r>
              <w:rPr>
                <w:b/>
                <w:bCs/>
                <w:color w:val="000000"/>
                <w:sz w:val="22"/>
                <w:szCs w:val="22"/>
              </w:rPr>
              <w:t>Narrative Insight</w:t>
            </w:r>
          </w:p>
        </w:tc>
      </w:tr>
      <w:tr w:rsidR="008E6BC6" w14:paraId="1BF682E5" w14:textId="77777777">
        <w:tblPrEx>
          <w:tblCellMar>
            <w:top w:w="0" w:type="dxa"/>
            <w:bottom w:w="0" w:type="dxa"/>
          </w:tblCellMar>
        </w:tblPrEx>
        <w:tc>
          <w:tcPr>
            <w:tcW w:w="2400" w:type="dxa"/>
            <w:tcMar>
              <w:top w:w="90" w:type="dxa"/>
              <w:left w:w="120" w:type="dxa"/>
              <w:bottom w:w="90" w:type="dxa"/>
              <w:right w:w="120" w:type="dxa"/>
            </w:tcMar>
            <w:vAlign w:val="center"/>
          </w:tcPr>
          <w:p w14:paraId="4EC98149" w14:textId="77777777" w:rsidR="008E6BC6" w:rsidRDefault="00000000" w:rsidP="00314737">
            <w:r>
              <w:rPr>
                <w:b/>
                <w:bCs/>
                <w:color w:val="000000"/>
                <w:sz w:val="22"/>
                <w:szCs w:val="22"/>
              </w:rPr>
              <w:t>Revenue from Operations</w:t>
            </w:r>
          </w:p>
        </w:tc>
        <w:tc>
          <w:tcPr>
            <w:tcW w:w="1400" w:type="dxa"/>
            <w:tcMar>
              <w:top w:w="90" w:type="dxa"/>
              <w:left w:w="120" w:type="dxa"/>
              <w:bottom w:w="90" w:type="dxa"/>
              <w:right w:w="120" w:type="dxa"/>
            </w:tcMar>
            <w:vAlign w:val="center"/>
          </w:tcPr>
          <w:p w14:paraId="2371A4BD" w14:textId="77777777" w:rsidR="008E6BC6" w:rsidRDefault="00000000" w:rsidP="00314737">
            <w:r>
              <w:rPr>
                <w:color w:val="000000"/>
                <w:sz w:val="22"/>
                <w:szCs w:val="22"/>
              </w:rPr>
              <w:t>₹1,62,990</w:t>
            </w:r>
          </w:p>
        </w:tc>
        <w:tc>
          <w:tcPr>
            <w:tcW w:w="1400" w:type="dxa"/>
            <w:tcMar>
              <w:top w:w="90" w:type="dxa"/>
              <w:left w:w="120" w:type="dxa"/>
              <w:bottom w:w="90" w:type="dxa"/>
              <w:right w:w="120" w:type="dxa"/>
            </w:tcMar>
            <w:vAlign w:val="center"/>
          </w:tcPr>
          <w:p w14:paraId="59C9AA9E" w14:textId="77777777" w:rsidR="008E6BC6" w:rsidRDefault="00000000" w:rsidP="00314737">
            <w:r>
              <w:rPr>
                <w:color w:val="000000"/>
                <w:sz w:val="22"/>
                <w:szCs w:val="22"/>
              </w:rPr>
              <w:t>₹1,78,650</w:t>
            </w:r>
          </w:p>
        </w:tc>
        <w:tc>
          <w:tcPr>
            <w:tcW w:w="1300" w:type="dxa"/>
            <w:tcMar>
              <w:top w:w="90" w:type="dxa"/>
              <w:left w:w="120" w:type="dxa"/>
              <w:bottom w:w="90" w:type="dxa"/>
              <w:right w:w="120" w:type="dxa"/>
            </w:tcMar>
            <w:vAlign w:val="center"/>
          </w:tcPr>
          <w:p w14:paraId="28A365F0" w14:textId="77777777" w:rsidR="008E6BC6" w:rsidRDefault="00000000" w:rsidP="00314737">
            <w:r>
              <w:rPr>
                <w:color w:val="000000"/>
                <w:sz w:val="22"/>
                <w:szCs w:val="22"/>
              </w:rPr>
              <w:t>+9.6%</w:t>
            </w:r>
          </w:p>
        </w:tc>
        <w:tc>
          <w:tcPr>
            <w:tcW w:w="2860" w:type="dxa"/>
            <w:tcMar>
              <w:top w:w="90" w:type="dxa"/>
              <w:left w:w="120" w:type="dxa"/>
              <w:bottom w:w="90" w:type="dxa"/>
              <w:right w:w="120" w:type="dxa"/>
            </w:tcMar>
            <w:vAlign w:val="center"/>
          </w:tcPr>
          <w:p w14:paraId="1F8A694D" w14:textId="77777777" w:rsidR="008E6BC6" w:rsidRDefault="00000000" w:rsidP="00314737">
            <w:r>
              <w:rPr>
                <w:color w:val="000000"/>
                <w:sz w:val="22"/>
                <w:szCs w:val="22"/>
              </w:rPr>
              <w:t xml:space="preserve">Consistent Core Growth: Top-line revenue expanded ~10% year-over-year purely from IT consulting, systems integration, and software delivery. This matches expectations for an </w:t>
            </w:r>
            <w:r>
              <w:rPr>
                <w:color w:val="000000"/>
                <w:sz w:val="22"/>
                <w:szCs w:val="22"/>
              </w:rPr>
              <w:lastRenderedPageBreak/>
              <w:t>established IT firm operating at global scale.</w:t>
            </w:r>
          </w:p>
        </w:tc>
      </w:tr>
      <w:tr w:rsidR="008E6BC6" w14:paraId="0EB8185C"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5B084F73" w14:textId="77777777" w:rsidR="008E6BC6" w:rsidRDefault="00000000" w:rsidP="00314737">
            <w:r>
              <w:rPr>
                <w:b/>
                <w:bCs/>
                <w:color w:val="000000"/>
                <w:sz w:val="22"/>
                <w:szCs w:val="22"/>
              </w:rPr>
              <w:lastRenderedPageBreak/>
              <w:t>Operating Profit (EBIT)</w:t>
            </w:r>
          </w:p>
        </w:tc>
        <w:tc>
          <w:tcPr>
            <w:tcW w:w="1400" w:type="dxa"/>
            <w:shd w:val="clear" w:color="auto" w:fill="F2F2F2"/>
            <w:tcMar>
              <w:top w:w="90" w:type="dxa"/>
              <w:left w:w="120" w:type="dxa"/>
              <w:bottom w:w="90" w:type="dxa"/>
              <w:right w:w="120" w:type="dxa"/>
            </w:tcMar>
            <w:vAlign w:val="center"/>
          </w:tcPr>
          <w:p w14:paraId="68DCDAD2" w14:textId="77777777" w:rsidR="008E6BC6" w:rsidRDefault="00000000" w:rsidP="00314737">
            <w:r>
              <w:rPr>
                <w:color w:val="000000"/>
                <w:sz w:val="22"/>
                <w:szCs w:val="22"/>
              </w:rPr>
              <w:t>₹34,424</w:t>
            </w:r>
          </w:p>
        </w:tc>
        <w:tc>
          <w:tcPr>
            <w:tcW w:w="1400" w:type="dxa"/>
            <w:shd w:val="clear" w:color="auto" w:fill="F2F2F2"/>
            <w:tcMar>
              <w:top w:w="90" w:type="dxa"/>
              <w:left w:w="120" w:type="dxa"/>
              <w:bottom w:w="90" w:type="dxa"/>
              <w:right w:w="120" w:type="dxa"/>
            </w:tcMar>
            <w:vAlign w:val="center"/>
          </w:tcPr>
          <w:p w14:paraId="7BC3A7A4" w14:textId="77777777" w:rsidR="008E6BC6" w:rsidRDefault="00000000" w:rsidP="00314737">
            <w:r>
              <w:rPr>
                <w:color w:val="000000"/>
                <w:sz w:val="22"/>
                <w:szCs w:val="22"/>
              </w:rPr>
              <w:t>₹36,254</w:t>
            </w:r>
          </w:p>
        </w:tc>
        <w:tc>
          <w:tcPr>
            <w:tcW w:w="1300" w:type="dxa"/>
            <w:shd w:val="clear" w:color="auto" w:fill="F2F2F2"/>
            <w:tcMar>
              <w:top w:w="90" w:type="dxa"/>
              <w:left w:w="120" w:type="dxa"/>
              <w:bottom w:w="90" w:type="dxa"/>
              <w:right w:w="120" w:type="dxa"/>
            </w:tcMar>
            <w:vAlign w:val="center"/>
          </w:tcPr>
          <w:p w14:paraId="1C033A5D" w14:textId="77777777" w:rsidR="008E6BC6" w:rsidRDefault="00000000" w:rsidP="00314737">
            <w:r>
              <w:rPr>
                <w:color w:val="000000"/>
                <w:sz w:val="22"/>
                <w:szCs w:val="22"/>
              </w:rPr>
              <w:t>+5.3%</w:t>
            </w:r>
          </w:p>
        </w:tc>
        <w:tc>
          <w:tcPr>
            <w:tcW w:w="2860" w:type="dxa"/>
            <w:shd w:val="clear" w:color="auto" w:fill="F2F2F2"/>
            <w:tcMar>
              <w:top w:w="90" w:type="dxa"/>
              <w:left w:w="120" w:type="dxa"/>
              <w:bottom w:w="90" w:type="dxa"/>
              <w:right w:w="120" w:type="dxa"/>
            </w:tcMar>
            <w:vAlign w:val="center"/>
          </w:tcPr>
          <w:p w14:paraId="42E2B7F5" w14:textId="77777777" w:rsidR="008E6BC6" w:rsidRDefault="00000000" w:rsidP="00314737">
            <w:r>
              <w:rPr>
                <w:color w:val="000000"/>
                <w:sz w:val="22"/>
                <w:szCs w:val="22"/>
              </w:rPr>
              <w:t>Cost-Line Expansion: While sales grew by 9.6%, core operating profit grew only 5.3%. Operating overhead—chiefly employee compensation, compensation revisions, and delivery costs—expanded at a faster rate than revenue.</w:t>
            </w:r>
          </w:p>
        </w:tc>
      </w:tr>
      <w:tr w:rsidR="008E6BC6" w14:paraId="3732C9E0" w14:textId="77777777">
        <w:tblPrEx>
          <w:tblCellMar>
            <w:top w:w="0" w:type="dxa"/>
            <w:bottom w:w="0" w:type="dxa"/>
          </w:tblCellMar>
        </w:tblPrEx>
        <w:tc>
          <w:tcPr>
            <w:tcW w:w="2400" w:type="dxa"/>
            <w:tcMar>
              <w:top w:w="90" w:type="dxa"/>
              <w:left w:w="120" w:type="dxa"/>
              <w:bottom w:w="90" w:type="dxa"/>
              <w:right w:w="120" w:type="dxa"/>
            </w:tcMar>
            <w:vAlign w:val="center"/>
          </w:tcPr>
          <w:p w14:paraId="478B398B" w14:textId="77777777" w:rsidR="008E6BC6" w:rsidRDefault="00000000" w:rsidP="00314737">
            <w:r>
              <w:rPr>
                <w:b/>
                <w:bCs/>
                <w:color w:val="000000"/>
                <w:sz w:val="22"/>
                <w:szCs w:val="22"/>
              </w:rPr>
              <w:t>Operating Margin (%)</w:t>
            </w:r>
          </w:p>
        </w:tc>
        <w:tc>
          <w:tcPr>
            <w:tcW w:w="1400" w:type="dxa"/>
            <w:tcMar>
              <w:top w:w="90" w:type="dxa"/>
              <w:left w:w="120" w:type="dxa"/>
              <w:bottom w:w="90" w:type="dxa"/>
              <w:right w:w="120" w:type="dxa"/>
            </w:tcMar>
            <w:vAlign w:val="center"/>
          </w:tcPr>
          <w:p w14:paraId="432B6535" w14:textId="77777777" w:rsidR="008E6BC6" w:rsidRDefault="00000000" w:rsidP="00314737">
            <w:r>
              <w:rPr>
                <w:color w:val="000000"/>
                <w:sz w:val="22"/>
                <w:szCs w:val="22"/>
              </w:rPr>
              <w:t>21.1%</w:t>
            </w:r>
          </w:p>
        </w:tc>
        <w:tc>
          <w:tcPr>
            <w:tcW w:w="1400" w:type="dxa"/>
            <w:tcMar>
              <w:top w:w="90" w:type="dxa"/>
              <w:left w:w="120" w:type="dxa"/>
              <w:bottom w:w="90" w:type="dxa"/>
              <w:right w:w="120" w:type="dxa"/>
            </w:tcMar>
            <w:vAlign w:val="center"/>
          </w:tcPr>
          <w:p w14:paraId="72D688AE" w14:textId="77777777" w:rsidR="008E6BC6" w:rsidRDefault="00000000" w:rsidP="00314737">
            <w:r>
              <w:rPr>
                <w:color w:val="000000"/>
                <w:sz w:val="22"/>
                <w:szCs w:val="22"/>
              </w:rPr>
              <w:t>20.3%</w:t>
            </w:r>
          </w:p>
        </w:tc>
        <w:tc>
          <w:tcPr>
            <w:tcW w:w="1300" w:type="dxa"/>
            <w:tcMar>
              <w:top w:w="90" w:type="dxa"/>
              <w:left w:w="120" w:type="dxa"/>
              <w:bottom w:w="90" w:type="dxa"/>
              <w:right w:w="120" w:type="dxa"/>
            </w:tcMar>
            <w:vAlign w:val="center"/>
          </w:tcPr>
          <w:p w14:paraId="2B4660AA" w14:textId="77777777" w:rsidR="008E6BC6" w:rsidRDefault="00000000" w:rsidP="00314737">
            <w:r>
              <w:rPr>
                <w:color w:val="000000"/>
                <w:sz w:val="22"/>
                <w:szCs w:val="22"/>
              </w:rPr>
              <w:t>-80 bps</w:t>
            </w:r>
          </w:p>
        </w:tc>
        <w:tc>
          <w:tcPr>
            <w:tcW w:w="2860" w:type="dxa"/>
            <w:tcMar>
              <w:top w:w="90" w:type="dxa"/>
              <w:left w:w="120" w:type="dxa"/>
              <w:bottom w:w="90" w:type="dxa"/>
              <w:right w:w="120" w:type="dxa"/>
            </w:tcMar>
            <w:vAlign w:val="center"/>
          </w:tcPr>
          <w:p w14:paraId="45F73180" w14:textId="77777777" w:rsidR="008E6BC6" w:rsidRDefault="00000000" w:rsidP="00314737">
            <w:r>
              <w:rPr>
                <w:color w:val="000000"/>
                <w:sz w:val="22"/>
                <w:szCs w:val="22"/>
              </w:rPr>
              <w:t>Mild Margin Compression: Operating margins compressed by 80 basis points. This reflects minor margin friction rather than structural distress, remaining well within healthy operating bands for top-tier Indian IT exporters.</w:t>
            </w:r>
          </w:p>
        </w:tc>
      </w:tr>
      <w:tr w:rsidR="008E6BC6" w14:paraId="77ECB61B"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32777011" w14:textId="77777777" w:rsidR="008E6BC6" w:rsidRDefault="00000000" w:rsidP="00314737">
            <w:r>
              <w:rPr>
                <w:b/>
                <w:bCs/>
                <w:color w:val="000000"/>
                <w:sz w:val="22"/>
                <w:szCs w:val="22"/>
              </w:rPr>
              <w:t>Profit Before Tax (PBT)</w:t>
            </w:r>
          </w:p>
        </w:tc>
        <w:tc>
          <w:tcPr>
            <w:tcW w:w="1400" w:type="dxa"/>
            <w:shd w:val="clear" w:color="auto" w:fill="F2F2F2"/>
            <w:tcMar>
              <w:top w:w="90" w:type="dxa"/>
              <w:left w:w="120" w:type="dxa"/>
              <w:bottom w:w="90" w:type="dxa"/>
              <w:right w:w="120" w:type="dxa"/>
            </w:tcMar>
            <w:vAlign w:val="center"/>
          </w:tcPr>
          <w:p w14:paraId="2B12FFEA" w14:textId="77777777" w:rsidR="008E6BC6" w:rsidRDefault="00000000" w:rsidP="00314737">
            <w:r>
              <w:rPr>
                <w:color w:val="000000"/>
                <w:sz w:val="22"/>
                <w:szCs w:val="22"/>
              </w:rPr>
              <w:t>₹37,608</w:t>
            </w:r>
          </w:p>
        </w:tc>
        <w:tc>
          <w:tcPr>
            <w:tcW w:w="1400" w:type="dxa"/>
            <w:shd w:val="clear" w:color="auto" w:fill="F2F2F2"/>
            <w:tcMar>
              <w:top w:w="90" w:type="dxa"/>
              <w:left w:w="120" w:type="dxa"/>
              <w:bottom w:w="90" w:type="dxa"/>
              <w:right w:w="120" w:type="dxa"/>
            </w:tcMar>
            <w:vAlign w:val="center"/>
          </w:tcPr>
          <w:p w14:paraId="12F06F47" w14:textId="77777777" w:rsidR="008E6BC6" w:rsidRDefault="00000000" w:rsidP="00314737">
            <w:r>
              <w:rPr>
                <w:color w:val="000000"/>
                <w:sz w:val="22"/>
                <w:szCs w:val="22"/>
              </w:rPr>
              <w:t>₹39,995</w:t>
            </w:r>
          </w:p>
        </w:tc>
        <w:tc>
          <w:tcPr>
            <w:tcW w:w="1300" w:type="dxa"/>
            <w:shd w:val="clear" w:color="auto" w:fill="F2F2F2"/>
            <w:tcMar>
              <w:top w:w="90" w:type="dxa"/>
              <w:left w:w="120" w:type="dxa"/>
              <w:bottom w:w="90" w:type="dxa"/>
              <w:right w:w="120" w:type="dxa"/>
            </w:tcMar>
            <w:vAlign w:val="center"/>
          </w:tcPr>
          <w:p w14:paraId="2CE9C445" w14:textId="77777777" w:rsidR="008E6BC6" w:rsidRDefault="00000000" w:rsidP="00314737">
            <w:r>
              <w:rPr>
                <w:color w:val="000000"/>
                <w:sz w:val="22"/>
                <w:szCs w:val="22"/>
              </w:rPr>
              <w:t>+6.3%</w:t>
            </w:r>
          </w:p>
        </w:tc>
        <w:tc>
          <w:tcPr>
            <w:tcW w:w="2860" w:type="dxa"/>
            <w:shd w:val="clear" w:color="auto" w:fill="F2F2F2"/>
            <w:tcMar>
              <w:top w:w="90" w:type="dxa"/>
              <w:left w:w="120" w:type="dxa"/>
              <w:bottom w:w="90" w:type="dxa"/>
              <w:right w:w="120" w:type="dxa"/>
            </w:tcMar>
            <w:vAlign w:val="center"/>
          </w:tcPr>
          <w:p w14:paraId="1F1B5DDD" w14:textId="77777777" w:rsidR="008E6BC6" w:rsidRDefault="00000000" w:rsidP="00314737">
            <w:r>
              <w:rPr>
                <w:color w:val="000000"/>
                <w:sz w:val="22"/>
                <w:szCs w:val="22"/>
              </w:rPr>
              <w:t>Pre-tax earnings trajectory supported by treasury operations and operational cash returns.</w:t>
            </w:r>
          </w:p>
        </w:tc>
      </w:tr>
      <w:tr w:rsidR="008E6BC6" w14:paraId="6E3544E7" w14:textId="77777777">
        <w:tblPrEx>
          <w:tblCellMar>
            <w:top w:w="0" w:type="dxa"/>
            <w:bottom w:w="0" w:type="dxa"/>
          </w:tblCellMar>
        </w:tblPrEx>
        <w:tc>
          <w:tcPr>
            <w:tcW w:w="2400" w:type="dxa"/>
            <w:tcMar>
              <w:top w:w="90" w:type="dxa"/>
              <w:left w:w="120" w:type="dxa"/>
              <w:bottom w:w="90" w:type="dxa"/>
              <w:right w:w="120" w:type="dxa"/>
            </w:tcMar>
            <w:vAlign w:val="center"/>
          </w:tcPr>
          <w:p w14:paraId="4F132D4F" w14:textId="77777777" w:rsidR="008E6BC6" w:rsidRDefault="00000000" w:rsidP="00314737">
            <w:r>
              <w:rPr>
                <w:b/>
                <w:bCs/>
                <w:color w:val="000000"/>
                <w:sz w:val="22"/>
                <w:szCs w:val="22"/>
              </w:rPr>
              <w:t>Net Profit (PAT)</w:t>
            </w:r>
          </w:p>
        </w:tc>
        <w:tc>
          <w:tcPr>
            <w:tcW w:w="1400" w:type="dxa"/>
            <w:tcMar>
              <w:top w:w="90" w:type="dxa"/>
              <w:left w:w="120" w:type="dxa"/>
              <w:bottom w:w="90" w:type="dxa"/>
              <w:right w:w="120" w:type="dxa"/>
            </w:tcMar>
            <w:vAlign w:val="center"/>
          </w:tcPr>
          <w:p w14:paraId="2DBE0126" w14:textId="77777777" w:rsidR="008E6BC6" w:rsidRDefault="00000000" w:rsidP="00314737">
            <w:r>
              <w:rPr>
                <w:color w:val="000000"/>
                <w:sz w:val="22"/>
                <w:szCs w:val="22"/>
              </w:rPr>
              <w:t>₹26,750</w:t>
            </w:r>
          </w:p>
        </w:tc>
        <w:tc>
          <w:tcPr>
            <w:tcW w:w="1400" w:type="dxa"/>
            <w:tcMar>
              <w:top w:w="90" w:type="dxa"/>
              <w:left w:w="120" w:type="dxa"/>
              <w:bottom w:w="90" w:type="dxa"/>
              <w:right w:w="120" w:type="dxa"/>
            </w:tcMar>
            <w:vAlign w:val="center"/>
          </w:tcPr>
          <w:p w14:paraId="6D3ED349" w14:textId="77777777" w:rsidR="008E6BC6" w:rsidRDefault="00000000" w:rsidP="00314737">
            <w:r>
              <w:rPr>
                <w:color w:val="000000"/>
                <w:sz w:val="22"/>
                <w:szCs w:val="22"/>
              </w:rPr>
              <w:t>₹29,474</w:t>
            </w:r>
          </w:p>
        </w:tc>
        <w:tc>
          <w:tcPr>
            <w:tcW w:w="1300" w:type="dxa"/>
            <w:tcMar>
              <w:top w:w="90" w:type="dxa"/>
              <w:left w:w="120" w:type="dxa"/>
              <w:bottom w:w="90" w:type="dxa"/>
              <w:right w:w="120" w:type="dxa"/>
            </w:tcMar>
            <w:vAlign w:val="center"/>
          </w:tcPr>
          <w:p w14:paraId="1E3C9879" w14:textId="77777777" w:rsidR="008E6BC6" w:rsidRDefault="00000000" w:rsidP="00314737">
            <w:r>
              <w:rPr>
                <w:color w:val="000000"/>
                <w:sz w:val="22"/>
                <w:szCs w:val="22"/>
              </w:rPr>
              <w:t>+10.2%</w:t>
            </w:r>
          </w:p>
        </w:tc>
        <w:tc>
          <w:tcPr>
            <w:tcW w:w="2860" w:type="dxa"/>
            <w:tcMar>
              <w:top w:w="90" w:type="dxa"/>
              <w:left w:w="120" w:type="dxa"/>
              <w:bottom w:w="90" w:type="dxa"/>
              <w:right w:w="120" w:type="dxa"/>
            </w:tcMar>
            <w:vAlign w:val="center"/>
          </w:tcPr>
          <w:p w14:paraId="15B224AA" w14:textId="77777777" w:rsidR="008E6BC6" w:rsidRDefault="00000000" w:rsidP="00314737">
            <w:r>
              <w:rPr>
                <w:color w:val="000000"/>
                <w:sz w:val="22"/>
                <w:szCs w:val="22"/>
              </w:rPr>
              <w:t xml:space="preserve">Bottom-Line Outperformance: Profit after tax expanded faster than revenue despite margin pressure. This was driven by lower finance costs, treasury yield from cash reserves, and </w:t>
            </w:r>
            <w:proofErr w:type="spellStart"/>
            <w:r>
              <w:rPr>
                <w:color w:val="000000"/>
                <w:sz w:val="22"/>
                <w:szCs w:val="22"/>
              </w:rPr>
              <w:t>favorable</w:t>
            </w:r>
            <w:proofErr w:type="spellEnd"/>
            <w:r>
              <w:rPr>
                <w:color w:val="000000"/>
                <w:sz w:val="22"/>
                <w:szCs w:val="22"/>
              </w:rPr>
              <w:t xml:space="preserve"> tax outlays.</w:t>
            </w:r>
          </w:p>
        </w:tc>
      </w:tr>
      <w:tr w:rsidR="008E6BC6" w14:paraId="7DCCC60A"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0CA14623" w14:textId="77777777" w:rsidR="008E6BC6" w:rsidRDefault="00000000" w:rsidP="00314737">
            <w:r>
              <w:rPr>
                <w:b/>
                <w:bCs/>
                <w:color w:val="000000"/>
                <w:sz w:val="22"/>
                <w:szCs w:val="22"/>
              </w:rPr>
              <w:t>Basic EPS (₹)</w:t>
            </w:r>
          </w:p>
        </w:tc>
        <w:tc>
          <w:tcPr>
            <w:tcW w:w="1400" w:type="dxa"/>
            <w:shd w:val="clear" w:color="auto" w:fill="F2F2F2"/>
            <w:tcMar>
              <w:top w:w="90" w:type="dxa"/>
              <w:left w:w="120" w:type="dxa"/>
              <w:bottom w:w="90" w:type="dxa"/>
              <w:right w:w="120" w:type="dxa"/>
            </w:tcMar>
            <w:vAlign w:val="center"/>
          </w:tcPr>
          <w:p w14:paraId="220C55B4" w14:textId="77777777" w:rsidR="008E6BC6" w:rsidRDefault="00000000" w:rsidP="00314737">
            <w:r>
              <w:rPr>
                <w:color w:val="000000"/>
                <w:sz w:val="22"/>
                <w:szCs w:val="22"/>
              </w:rPr>
              <w:t>₹64.50</w:t>
            </w:r>
          </w:p>
        </w:tc>
        <w:tc>
          <w:tcPr>
            <w:tcW w:w="1400" w:type="dxa"/>
            <w:shd w:val="clear" w:color="auto" w:fill="F2F2F2"/>
            <w:tcMar>
              <w:top w:w="90" w:type="dxa"/>
              <w:left w:w="120" w:type="dxa"/>
              <w:bottom w:w="90" w:type="dxa"/>
              <w:right w:w="120" w:type="dxa"/>
            </w:tcMar>
            <w:vAlign w:val="center"/>
          </w:tcPr>
          <w:p w14:paraId="4E409B94" w14:textId="77777777" w:rsidR="008E6BC6" w:rsidRDefault="00000000" w:rsidP="00314737">
            <w:r>
              <w:rPr>
                <w:color w:val="000000"/>
                <w:sz w:val="22"/>
                <w:szCs w:val="22"/>
              </w:rPr>
              <w:t>₹71.58</w:t>
            </w:r>
          </w:p>
        </w:tc>
        <w:tc>
          <w:tcPr>
            <w:tcW w:w="1300" w:type="dxa"/>
            <w:shd w:val="clear" w:color="auto" w:fill="F2F2F2"/>
            <w:tcMar>
              <w:top w:w="90" w:type="dxa"/>
              <w:left w:w="120" w:type="dxa"/>
              <w:bottom w:w="90" w:type="dxa"/>
              <w:right w:w="120" w:type="dxa"/>
            </w:tcMar>
            <w:vAlign w:val="center"/>
          </w:tcPr>
          <w:p w14:paraId="1F9D57A8" w14:textId="77777777" w:rsidR="008E6BC6" w:rsidRDefault="00000000" w:rsidP="00314737">
            <w:r>
              <w:rPr>
                <w:color w:val="000000"/>
                <w:sz w:val="22"/>
                <w:szCs w:val="22"/>
              </w:rPr>
              <w:t>+11.0%</w:t>
            </w:r>
          </w:p>
        </w:tc>
        <w:tc>
          <w:tcPr>
            <w:tcW w:w="2860" w:type="dxa"/>
            <w:shd w:val="clear" w:color="auto" w:fill="F2F2F2"/>
            <w:tcMar>
              <w:top w:w="90" w:type="dxa"/>
              <w:left w:w="120" w:type="dxa"/>
              <w:bottom w:w="90" w:type="dxa"/>
              <w:right w:w="120" w:type="dxa"/>
            </w:tcMar>
            <w:vAlign w:val="center"/>
          </w:tcPr>
          <w:p w14:paraId="7238882B" w14:textId="77777777" w:rsidR="008E6BC6" w:rsidRDefault="00000000" w:rsidP="00314737">
            <w:r>
              <w:rPr>
                <w:color w:val="000000"/>
                <w:sz w:val="22"/>
                <w:szCs w:val="22"/>
              </w:rPr>
              <w:t>Shareholder earnings expanded by 11%, demonstrating accretive growth for equity holders.</w:t>
            </w:r>
          </w:p>
        </w:tc>
      </w:tr>
    </w:tbl>
    <w:p w14:paraId="33D6678B" w14:textId="77777777" w:rsidR="008E6BC6" w:rsidRDefault="00000000" w:rsidP="00314737">
      <w:pPr>
        <w:spacing w:before="320" w:after="160"/>
      </w:pPr>
      <w:r>
        <w:rPr>
          <w:b/>
          <w:bCs/>
          <w:color w:val="000000"/>
          <w:sz w:val="28"/>
          <w:szCs w:val="28"/>
        </w:rPr>
        <w:t>3. Balance Sheet &amp; Capital Strength</w:t>
      </w:r>
    </w:p>
    <w:p w14:paraId="434F075A" w14:textId="77777777" w:rsidR="008E6BC6" w:rsidRDefault="00000000" w:rsidP="00314737">
      <w:pPr>
        <w:spacing w:after="200"/>
      </w:pPr>
      <w:r>
        <w:rPr>
          <w:b/>
          <w:bCs/>
          <w:color w:val="000000"/>
          <w:sz w:val="22"/>
          <w:szCs w:val="22"/>
        </w:rPr>
        <w:t xml:space="preserve">Conservative Capital Structure: </w:t>
      </w:r>
      <w:r>
        <w:rPr>
          <w:color w:val="000000"/>
          <w:sz w:val="22"/>
          <w:szCs w:val="22"/>
        </w:rPr>
        <w:t>Debt-to-Equity is approximately 0.10, showing virtually no reliance on external financial debt. Working capital and operational growth are internally funded through retained earnings, making Infosys a low-risk balance-sheet operator.</w:t>
      </w:r>
    </w:p>
    <w:p w14:paraId="49D9E8F4" w14:textId="77777777" w:rsidR="008E6BC6" w:rsidRDefault="00000000" w:rsidP="00314737">
      <w:pPr>
        <w:spacing w:after="200"/>
      </w:pPr>
      <w:r>
        <w:rPr>
          <w:b/>
          <w:bCs/>
          <w:color w:val="000000"/>
          <w:sz w:val="22"/>
          <w:szCs w:val="22"/>
        </w:rPr>
        <w:lastRenderedPageBreak/>
        <w:t xml:space="preserve">Asset-Light Operational Base: </w:t>
      </w:r>
      <w:r>
        <w:rPr>
          <w:color w:val="000000"/>
          <w:sz w:val="22"/>
          <w:szCs w:val="22"/>
        </w:rPr>
        <w:t>Physical fixed assets represent a minor fraction of the balance sheet. Book value per share stands at approximately ₹194–₹225. Trading at ~4.7x–5.0x book value demonstrates that investor valuation relies on client relationships, enterprise contracts, and proprietary technology assets rather than physical plant and machinery.</w:t>
      </w:r>
    </w:p>
    <w:p w14:paraId="47CAA9A3" w14:textId="77777777" w:rsidR="008E6BC6" w:rsidRDefault="00000000" w:rsidP="00314737">
      <w:pPr>
        <w:spacing w:before="320" w:after="160" w:line="276" w:lineRule="auto"/>
      </w:pPr>
      <w:r>
        <w:rPr>
          <w:b/>
          <w:bCs/>
          <w:color w:val="000000"/>
          <w:sz w:val="28"/>
          <w:szCs w:val="28"/>
        </w:rPr>
        <w:t>4. Cash Generation &amp; Valuation Analysis</w:t>
      </w:r>
    </w:p>
    <w:p w14:paraId="44DAB99E" w14:textId="77777777" w:rsidR="008E6BC6" w:rsidRDefault="00000000" w:rsidP="00314737">
      <w:pPr>
        <w:spacing w:after="200"/>
      </w:pPr>
      <w:r>
        <w:rPr>
          <w:b/>
          <w:bCs/>
          <w:color w:val="000000"/>
          <w:sz w:val="22"/>
          <w:szCs w:val="22"/>
        </w:rPr>
        <w:t xml:space="preserve">Cash Quality over Paper Profit: </w:t>
      </w:r>
      <w:r>
        <w:rPr>
          <w:color w:val="000000"/>
          <w:sz w:val="22"/>
          <w:szCs w:val="22"/>
        </w:rPr>
        <w:t>Free cash flow (FCF) conversion regularly exceeds 100% of reported net income. Reported profits correspond directly to liquid collections rather than unbilled receivables, ensuring reliable working capital and backing high cash returns.</w:t>
      </w:r>
    </w:p>
    <w:p w14:paraId="160FAF5A" w14:textId="77777777" w:rsidR="008E6BC6" w:rsidRDefault="00000000" w:rsidP="00314737">
      <w:pPr>
        <w:spacing w:after="200"/>
      </w:pPr>
      <w:r>
        <w:rPr>
          <w:b/>
          <w:bCs/>
          <w:color w:val="000000"/>
          <w:sz w:val="22"/>
          <w:szCs w:val="22"/>
        </w:rPr>
        <w:t xml:space="preserve">Historical P/E Disconnect (13.8x vs. ~24x historical): </w:t>
      </w:r>
      <w:r>
        <w:rPr>
          <w:color w:val="000000"/>
          <w:sz w:val="22"/>
          <w:szCs w:val="22"/>
        </w:rPr>
        <w:t>The valuation shows a sharp deviation from multi-year norms. Despite double-digit net profit growth, market sentiment has compressed Infosys's earnings multiple. This indicates broad macro hesitation regarding client discretionary tech spending, global IT budget compression, or a market undervaluation relative to company operating cash flow.</w:t>
      </w:r>
    </w:p>
    <w:p w14:paraId="72C6D813" w14:textId="77777777" w:rsidR="008E6BC6" w:rsidRDefault="00000000" w:rsidP="00314737">
      <w:pPr>
        <w:spacing w:after="200"/>
      </w:pPr>
      <w:r>
        <w:rPr>
          <w:b/>
          <w:bCs/>
          <w:color w:val="000000"/>
          <w:sz w:val="22"/>
          <w:szCs w:val="22"/>
        </w:rPr>
        <w:t xml:space="preserve">Capital Return Strategy: </w:t>
      </w:r>
      <w:r>
        <w:rPr>
          <w:color w:val="000000"/>
          <w:sz w:val="22"/>
          <w:szCs w:val="22"/>
        </w:rPr>
        <w:t>The ~4.6% dividend yield is substantial for enterprise technology companies. Because large IT services firms require minimal capital expenditures to maintain operations, Infosys routes surplus liquid reserves back to shareholders via dividends and periodic share buybacks.</w:t>
      </w:r>
    </w:p>
    <w:p w14:paraId="515C3C93" w14:textId="77777777" w:rsidR="008E6BC6" w:rsidRDefault="00000000" w:rsidP="00314737">
      <w:pPr>
        <w:spacing w:before="320" w:after="160"/>
      </w:pPr>
      <w:r>
        <w:rPr>
          <w:b/>
          <w:bCs/>
          <w:color w:val="000000"/>
          <w:sz w:val="28"/>
          <w:szCs w:val="28"/>
        </w:rPr>
        <w:t>5. Synthesis</w:t>
      </w:r>
    </w:p>
    <w:p w14:paraId="5A8CADFD" w14:textId="77777777" w:rsidR="008E6BC6" w:rsidRDefault="00000000" w:rsidP="00314737">
      <w:pPr>
        <w:spacing w:after="200"/>
      </w:pPr>
      <w:r>
        <w:rPr>
          <w:color w:val="000000"/>
          <w:sz w:val="22"/>
          <w:szCs w:val="22"/>
        </w:rPr>
        <w:t>Infosys displays a stable corporate profile defined by steady ~10% revenue and net profit growth, strong capital efficiency (ROE &gt; 30%), near-zero net leverage, and strong cash conversion. Trading at a notable discount to historical price multiples while offering an above-average dividend yield, Infosys presents a resilient, cash-generative profile rooted in capital preservation and stable returns.</w:t>
      </w:r>
    </w:p>
    <w:sectPr w:rsidR="008E6B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10EAB"/>
    <w:multiLevelType w:val="hybridMultilevel"/>
    <w:tmpl w:val="EFD8BA96"/>
    <w:lvl w:ilvl="0" w:tplc="A2BC77C8">
      <w:start w:val="1"/>
      <w:numFmt w:val="bullet"/>
      <w:lvlText w:val="●"/>
      <w:lvlJc w:val="left"/>
      <w:pPr>
        <w:ind w:left="720" w:hanging="360"/>
      </w:pPr>
    </w:lvl>
    <w:lvl w:ilvl="1" w:tplc="D75805F6">
      <w:start w:val="1"/>
      <w:numFmt w:val="bullet"/>
      <w:lvlText w:val="○"/>
      <w:lvlJc w:val="left"/>
      <w:pPr>
        <w:ind w:left="1440" w:hanging="360"/>
      </w:pPr>
    </w:lvl>
    <w:lvl w:ilvl="2" w:tplc="EB248C8C">
      <w:start w:val="1"/>
      <w:numFmt w:val="bullet"/>
      <w:lvlText w:val="■"/>
      <w:lvlJc w:val="left"/>
      <w:pPr>
        <w:ind w:left="2160" w:hanging="360"/>
      </w:pPr>
    </w:lvl>
    <w:lvl w:ilvl="3" w:tplc="4BE29780">
      <w:start w:val="1"/>
      <w:numFmt w:val="bullet"/>
      <w:lvlText w:val="●"/>
      <w:lvlJc w:val="left"/>
      <w:pPr>
        <w:ind w:left="2880" w:hanging="360"/>
      </w:pPr>
    </w:lvl>
    <w:lvl w:ilvl="4" w:tplc="723E467E">
      <w:start w:val="1"/>
      <w:numFmt w:val="bullet"/>
      <w:lvlText w:val="○"/>
      <w:lvlJc w:val="left"/>
      <w:pPr>
        <w:ind w:left="3600" w:hanging="360"/>
      </w:pPr>
    </w:lvl>
    <w:lvl w:ilvl="5" w:tplc="DDACCE6E">
      <w:start w:val="1"/>
      <w:numFmt w:val="bullet"/>
      <w:lvlText w:val="■"/>
      <w:lvlJc w:val="left"/>
      <w:pPr>
        <w:ind w:left="4320" w:hanging="360"/>
      </w:pPr>
    </w:lvl>
    <w:lvl w:ilvl="6" w:tplc="D88AB3F4">
      <w:start w:val="1"/>
      <w:numFmt w:val="bullet"/>
      <w:lvlText w:val="●"/>
      <w:lvlJc w:val="left"/>
      <w:pPr>
        <w:ind w:left="5040" w:hanging="360"/>
      </w:pPr>
    </w:lvl>
    <w:lvl w:ilvl="7" w:tplc="26DE82E8">
      <w:start w:val="1"/>
      <w:numFmt w:val="bullet"/>
      <w:lvlText w:val="●"/>
      <w:lvlJc w:val="left"/>
      <w:pPr>
        <w:ind w:left="5760" w:hanging="360"/>
      </w:pPr>
    </w:lvl>
    <w:lvl w:ilvl="8" w:tplc="663EF2E4">
      <w:start w:val="1"/>
      <w:numFmt w:val="bullet"/>
      <w:lvlText w:val="●"/>
      <w:lvlJc w:val="left"/>
      <w:pPr>
        <w:ind w:left="6480" w:hanging="360"/>
      </w:pPr>
    </w:lvl>
  </w:abstractNum>
  <w:num w:numId="1" w16cid:durableId="379473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BC6"/>
    <w:rsid w:val="00314737"/>
    <w:rsid w:val="0036251B"/>
    <w:rsid w:val="008E6B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7D4D9"/>
  <w15:docId w15:val="{03257E99-05AB-44B1-9A12-4748ECF4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690</Words>
  <Characters>3933</Characters>
  <Application>Microsoft Office Word</Application>
  <DocSecurity>0</DocSecurity>
  <Lines>32</Lines>
  <Paragraphs>9</Paragraphs>
  <ScaleCrop>false</ScaleCrop>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Sambhavya Nayak</cp:lastModifiedBy>
  <cp:revision>2</cp:revision>
  <dcterms:created xsi:type="dcterms:W3CDTF">2026-09-14T21:11:00Z</dcterms:created>
  <dcterms:modified xsi:type="dcterms:W3CDTF">2026-09-14T21:11:00Z</dcterms:modified>
</cp:coreProperties>
</file>