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4042B" w14:textId="77777777" w:rsidR="00F662E5" w:rsidRDefault="00000000" w:rsidP="00F662E5">
      <w:pPr>
        <w:spacing w:after="200"/>
      </w:pPr>
      <w:r>
        <w:rPr>
          <w:rFonts w:ascii="Calibri" w:eastAsia="Calibri" w:hAnsi="Calibri" w:cs="Calibri"/>
          <w:b/>
          <w:bCs/>
          <w:color w:val="000000"/>
          <w:sz w:val="36"/>
          <w:szCs w:val="36"/>
        </w:rPr>
        <w:t xml:space="preserve">Stock Market Fundamentals &amp; Financial </w:t>
      </w:r>
      <w:r w:rsidRPr="00F662E5">
        <w:rPr>
          <w:rFonts w:ascii="Calibri" w:eastAsia="Calibri" w:hAnsi="Calibri" w:cs="Calibri"/>
          <w:b/>
          <w:bCs/>
          <w:color w:val="000000"/>
          <w:sz w:val="36"/>
          <w:szCs w:val="36"/>
        </w:rPr>
        <w:t>Statement Analysis</w:t>
      </w:r>
    </w:p>
    <w:p w14:paraId="2B9A02ED" w14:textId="7DA879E5" w:rsidR="00D25E78" w:rsidRDefault="00000000" w:rsidP="00F662E5">
      <w:pPr>
        <w:spacing w:after="200"/>
      </w:pPr>
      <w:r>
        <w:rPr>
          <w:rFonts w:ascii="Calibri" w:eastAsia="Calibri" w:hAnsi="Calibri" w:cs="Calibri"/>
          <w:i/>
          <w:iCs/>
          <w:color w:val="000000"/>
        </w:rPr>
        <w:t xml:space="preserve">FinTech Domain &amp; Software Development Fundamentals </w:t>
      </w:r>
    </w:p>
    <w:p w14:paraId="4E6EF65E" w14:textId="77777777" w:rsidR="00D25E78" w:rsidRDefault="00000000">
      <w:pPr>
        <w:pBdr>
          <w:bottom w:val="single" w:sz="6" w:space="2" w:color="000000"/>
        </w:pBdr>
        <w:spacing w:before="260" w:after="120"/>
      </w:pPr>
      <w:r>
        <w:rPr>
          <w:rFonts w:ascii="Calibri" w:eastAsia="Calibri" w:hAnsi="Calibri" w:cs="Calibri"/>
          <w:b/>
          <w:bCs/>
          <w:color w:val="000000"/>
          <w:sz w:val="26"/>
          <w:szCs w:val="26"/>
        </w:rPr>
        <w:t>Part A: Stock Market Fundamentals - Summary</w:t>
      </w:r>
    </w:p>
    <w:p w14:paraId="11EE5DCD" w14:textId="435938FB" w:rsidR="00D25E78" w:rsidRPr="00F662E5" w:rsidRDefault="00000000">
      <w:pPr>
        <w:spacing w:after="100"/>
        <w:rPr>
          <w:sz w:val="22"/>
          <w:szCs w:val="22"/>
        </w:rPr>
      </w:pPr>
      <w:r w:rsidRPr="00F662E5">
        <w:rPr>
          <w:rFonts w:ascii="Calibri" w:eastAsia="Calibri" w:hAnsi="Calibri" w:cs="Calibri"/>
          <w:color w:val="000000"/>
          <w:sz w:val="22"/>
          <w:szCs w:val="22"/>
        </w:rPr>
        <w:t>This section explains core stock market concepts to help interpret financial datasets, business reports and market trends.</w:t>
      </w:r>
    </w:p>
    <w:p w14:paraId="0091394C"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Stock: </w:t>
      </w:r>
      <w:r w:rsidRPr="00F662E5">
        <w:rPr>
          <w:rFonts w:ascii="Calibri" w:eastAsia="Calibri" w:hAnsi="Calibri" w:cs="Calibri"/>
          <w:color w:val="000000"/>
          <w:sz w:val="22"/>
          <w:szCs w:val="22"/>
        </w:rPr>
        <w:t>A unit of ownership in a company; owning a share makes you a part-owner with a claim on profits and assets.</w:t>
      </w:r>
    </w:p>
    <w:p w14:paraId="5E4FD872"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Stock Market: </w:t>
      </w:r>
      <w:r w:rsidRPr="00F662E5">
        <w:rPr>
          <w:rFonts w:ascii="Calibri" w:eastAsia="Calibri" w:hAnsi="Calibri" w:cs="Calibri"/>
          <w:color w:val="000000"/>
          <w:sz w:val="22"/>
          <w:szCs w:val="22"/>
        </w:rPr>
        <w:t>A marketplace (primary market for new IPOs, secondary market for ongoing trading) where shares of listed companies are bought and sold.</w:t>
      </w:r>
    </w:p>
    <w:p w14:paraId="382F8454"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NSE &amp; BSE: </w:t>
      </w:r>
      <w:r w:rsidRPr="00F662E5">
        <w:rPr>
          <w:rFonts w:ascii="Calibri" w:eastAsia="Calibri" w:hAnsi="Calibri" w:cs="Calibri"/>
          <w:color w:val="000000"/>
          <w:sz w:val="22"/>
          <w:szCs w:val="22"/>
        </w:rPr>
        <w:t>India's two main exchanges. NSE (est. 1992) tracks the Nifty 50 and has higher trading volumes; BSE (est. 1875, Asia's oldest) tracks the Sensex.</w:t>
      </w:r>
    </w:p>
    <w:p w14:paraId="11F45393"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Nifty &amp; Sensex: </w:t>
      </w:r>
      <w:r w:rsidRPr="00F662E5">
        <w:rPr>
          <w:rFonts w:ascii="Calibri" w:eastAsia="Calibri" w:hAnsi="Calibri" w:cs="Calibri"/>
          <w:color w:val="000000"/>
          <w:sz w:val="22"/>
          <w:szCs w:val="22"/>
        </w:rPr>
        <w:t>Benchmark indices reflecting overall market direction — Nifty 50 (top 50 NSE companies) and Sensex (top 30 BSE companies).</w:t>
      </w:r>
    </w:p>
    <w:p w14:paraId="6536E5B3"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IPO &amp; SME IPO: </w:t>
      </w:r>
      <w:r w:rsidRPr="00F662E5">
        <w:rPr>
          <w:rFonts w:ascii="Calibri" w:eastAsia="Calibri" w:hAnsi="Calibri" w:cs="Calibri"/>
          <w:color w:val="000000"/>
          <w:sz w:val="22"/>
          <w:szCs w:val="22"/>
        </w:rPr>
        <w:t>An IPO is a company's first sale of shares to the public. An SME IPO is the same process for smaller companies, listed on a separate SME platform with lighter eligibility norms.</w:t>
      </w:r>
    </w:p>
    <w:p w14:paraId="0616DFD2"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Market Capitalization: </w:t>
      </w:r>
      <w:r w:rsidRPr="00F662E5">
        <w:rPr>
          <w:rFonts w:ascii="Calibri" w:eastAsia="Calibri" w:hAnsi="Calibri" w:cs="Calibri"/>
          <w:color w:val="000000"/>
          <w:sz w:val="22"/>
          <w:szCs w:val="22"/>
        </w:rPr>
        <w:t>Share Price x Total Shares Outstanding. Classifies companies as large-cap, mid-cap or small-cap based on total market value.</w:t>
      </w:r>
    </w:p>
    <w:p w14:paraId="36951BF5"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Share Price: </w:t>
      </w:r>
      <w:r w:rsidRPr="00F662E5">
        <w:rPr>
          <w:rFonts w:ascii="Calibri" w:eastAsia="Calibri" w:hAnsi="Calibri" w:cs="Calibri"/>
          <w:color w:val="000000"/>
          <w:sz w:val="22"/>
          <w:szCs w:val="22"/>
        </w:rPr>
        <w:t>The current traded price of one share, driven by supply, demand, earnings and sentiment; not a standalone indicator of value or cheapness.</w:t>
      </w:r>
    </w:p>
    <w:p w14:paraId="115E6757"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EPS (Earnings Per Share): </w:t>
      </w:r>
      <w:r w:rsidRPr="00F662E5">
        <w:rPr>
          <w:rFonts w:ascii="Calibri" w:eastAsia="Calibri" w:hAnsi="Calibri" w:cs="Calibri"/>
          <w:color w:val="000000"/>
          <w:sz w:val="22"/>
          <w:szCs w:val="22"/>
        </w:rPr>
        <w:t>Net Profit divided by total shares outstanding. Shows profit attributable to each share; rising EPS signals improving profitability.</w:t>
      </w:r>
    </w:p>
    <w:p w14:paraId="6DAF2635"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PE Ratio: </w:t>
      </w:r>
      <w:r w:rsidRPr="00F662E5">
        <w:rPr>
          <w:rFonts w:ascii="Calibri" w:eastAsia="Calibri" w:hAnsi="Calibri" w:cs="Calibri"/>
          <w:color w:val="000000"/>
          <w:sz w:val="22"/>
          <w:szCs w:val="22"/>
        </w:rPr>
        <w:t>Share Price divided by EPS. Shows how much investors pay per rupee of profit; compared within the same industry, not across sectors.</w:t>
      </w:r>
    </w:p>
    <w:p w14:paraId="7359A288"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PB Ratio: </w:t>
      </w:r>
      <w:r w:rsidRPr="00F662E5">
        <w:rPr>
          <w:rFonts w:ascii="Calibri" w:eastAsia="Calibri" w:hAnsi="Calibri" w:cs="Calibri"/>
          <w:color w:val="000000"/>
          <w:sz w:val="22"/>
          <w:szCs w:val="22"/>
        </w:rPr>
        <w:t>Share Price divided by Book Value per Share. Compares market price to accounting net worth; most relevant for banks and asset-heavy firms.</w:t>
      </w:r>
    </w:p>
    <w:p w14:paraId="50BD2F2B"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Dividend: </w:t>
      </w:r>
      <w:r w:rsidRPr="00F662E5">
        <w:rPr>
          <w:rFonts w:ascii="Calibri" w:eastAsia="Calibri" w:hAnsi="Calibri" w:cs="Calibri"/>
          <w:color w:val="000000"/>
          <w:sz w:val="22"/>
          <w:szCs w:val="22"/>
        </w:rPr>
        <w:t>A portion of profit distributed to shareholders, usually per share or as a yield percentage; mature companies pay more than growth companies.</w:t>
      </w:r>
    </w:p>
    <w:p w14:paraId="04C776E4"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Bonus &amp; Stock Split: </w:t>
      </w:r>
      <w:r w:rsidRPr="00F662E5">
        <w:rPr>
          <w:rFonts w:ascii="Calibri" w:eastAsia="Calibri" w:hAnsi="Calibri" w:cs="Calibri"/>
          <w:color w:val="000000"/>
          <w:sz w:val="22"/>
          <w:szCs w:val="22"/>
        </w:rPr>
        <w:t>Bonus shares are free additional shares issued from reserves; a stock split divides existing shares into smaller units. Both lower price per share without changing total investment value.</w:t>
      </w:r>
    </w:p>
    <w:p w14:paraId="7328BC60"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Trading Volume: </w:t>
      </w:r>
      <w:r w:rsidRPr="00F662E5">
        <w:rPr>
          <w:rFonts w:ascii="Calibri" w:eastAsia="Calibri" w:hAnsi="Calibri" w:cs="Calibri"/>
          <w:color w:val="000000"/>
          <w:sz w:val="22"/>
          <w:szCs w:val="22"/>
        </w:rPr>
        <w:t>The number of shares traded in a period. High volume confirms the strength/reliability of a price move; low volume moves are less reliable.</w:t>
      </w:r>
    </w:p>
    <w:p w14:paraId="7CCFADE0"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Company Financial Statements: </w:t>
      </w:r>
      <w:r w:rsidRPr="00F662E5">
        <w:rPr>
          <w:rFonts w:ascii="Calibri" w:eastAsia="Calibri" w:hAnsi="Calibri" w:cs="Calibri"/>
          <w:color w:val="000000"/>
          <w:sz w:val="22"/>
          <w:szCs w:val="22"/>
        </w:rPr>
        <w:t>The Balance Sheet, Profit &amp; Loss Statement and Cash Flow Statement together record a company's financial position, performance and liquidity.</w:t>
      </w:r>
    </w:p>
    <w:p w14:paraId="464E6615"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Balance Sheet: </w:t>
      </w:r>
      <w:r w:rsidRPr="00F662E5">
        <w:rPr>
          <w:rFonts w:ascii="Calibri" w:eastAsia="Calibri" w:hAnsi="Calibri" w:cs="Calibri"/>
          <w:color w:val="000000"/>
          <w:sz w:val="22"/>
          <w:szCs w:val="22"/>
        </w:rPr>
        <w:t>A snapshot at one date: Assets = Liabilities + Shareholders' Equity, showing what the company owns versus what it owes.</w:t>
      </w:r>
    </w:p>
    <w:p w14:paraId="48AF0946"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Profit &amp; Loss Statement: </w:t>
      </w:r>
      <w:r w:rsidRPr="00F662E5">
        <w:rPr>
          <w:rFonts w:ascii="Calibri" w:eastAsia="Calibri" w:hAnsi="Calibri" w:cs="Calibri"/>
          <w:color w:val="000000"/>
          <w:sz w:val="22"/>
          <w:szCs w:val="22"/>
        </w:rPr>
        <w:t>Shows performance over a period: Revenue minus Expenses (cost of sales, operating, interest, tax) equals Net Profit.</w:t>
      </w:r>
    </w:p>
    <w:p w14:paraId="7E038D81"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Cash Flow Statement: </w:t>
      </w:r>
      <w:r w:rsidRPr="00F662E5">
        <w:rPr>
          <w:rFonts w:ascii="Calibri" w:eastAsia="Calibri" w:hAnsi="Calibri" w:cs="Calibri"/>
          <w:color w:val="000000"/>
          <w:sz w:val="22"/>
          <w:szCs w:val="22"/>
        </w:rPr>
        <w:t>Tracks real cash movement across Operating, Investing and Financing activities; distinguishes accounting profit from actual cash generated.</w:t>
      </w:r>
    </w:p>
    <w:p w14:paraId="69588E37" w14:textId="77777777" w:rsidR="00D25E78" w:rsidRPr="00F662E5" w:rsidRDefault="00000000">
      <w:pPr>
        <w:pStyle w:val="ListParagraph"/>
        <w:numPr>
          <w:ilvl w:val="0"/>
          <w:numId w:val="2"/>
        </w:numPr>
        <w:spacing w:after="60"/>
        <w:rPr>
          <w:sz w:val="24"/>
          <w:szCs w:val="24"/>
        </w:rPr>
      </w:pPr>
      <w:r w:rsidRPr="00F662E5">
        <w:rPr>
          <w:rFonts w:ascii="Calibri" w:eastAsia="Calibri" w:hAnsi="Calibri" w:cs="Calibri"/>
          <w:b/>
          <w:bCs/>
          <w:color w:val="000000"/>
          <w:sz w:val="22"/>
          <w:szCs w:val="22"/>
        </w:rPr>
        <w:t xml:space="preserve">Basic Financial Ratios: </w:t>
      </w:r>
      <w:r w:rsidRPr="00F662E5">
        <w:rPr>
          <w:rFonts w:ascii="Calibri" w:eastAsia="Calibri" w:hAnsi="Calibri" w:cs="Calibri"/>
          <w:color w:val="000000"/>
          <w:sz w:val="22"/>
          <w:szCs w:val="22"/>
        </w:rPr>
        <w:t>ROE, ROA, Debt-to-Equity, Current Ratio and Net Profit Margin — used together with PE/PB/EPS to judge profitability, leverage and liquidity.</w:t>
      </w:r>
    </w:p>
    <w:p w14:paraId="2EACAC0A" w14:textId="77777777" w:rsidR="00F662E5" w:rsidRDefault="00F662E5" w:rsidP="00F662E5">
      <w:pPr>
        <w:spacing w:after="60"/>
        <w:rPr>
          <w:sz w:val="24"/>
          <w:szCs w:val="24"/>
        </w:rPr>
      </w:pPr>
    </w:p>
    <w:p w14:paraId="46478F4E" w14:textId="77777777" w:rsidR="00F662E5" w:rsidRPr="00F662E5" w:rsidRDefault="00F662E5" w:rsidP="00F662E5">
      <w:pPr>
        <w:spacing w:after="60"/>
        <w:rPr>
          <w:sz w:val="24"/>
          <w:szCs w:val="24"/>
        </w:rPr>
      </w:pPr>
    </w:p>
    <w:p w14:paraId="0554B3AB" w14:textId="77777777" w:rsidR="00D25E78" w:rsidRDefault="00000000">
      <w:pPr>
        <w:pBdr>
          <w:bottom w:val="single" w:sz="6" w:space="2" w:color="000000"/>
        </w:pBdr>
        <w:spacing w:before="260" w:after="120"/>
      </w:pPr>
      <w:r>
        <w:rPr>
          <w:rFonts w:ascii="Calibri" w:eastAsia="Calibri" w:hAnsi="Calibri" w:cs="Calibri"/>
          <w:b/>
          <w:bCs/>
          <w:color w:val="000000"/>
          <w:sz w:val="26"/>
          <w:szCs w:val="26"/>
        </w:rPr>
        <w:lastRenderedPageBreak/>
        <w:t>Part B: Financial Statement Analysis - Infosys Ltd (NSE, BSE: INFY)</w:t>
      </w:r>
    </w:p>
    <w:p w14:paraId="1D7D58E0" w14:textId="77777777" w:rsidR="00D25E78" w:rsidRPr="00F662E5" w:rsidRDefault="00000000">
      <w:pPr>
        <w:spacing w:after="100"/>
        <w:rPr>
          <w:sz w:val="22"/>
          <w:szCs w:val="22"/>
        </w:rPr>
      </w:pPr>
      <w:r w:rsidRPr="00F662E5">
        <w:rPr>
          <w:rFonts w:ascii="Calibri" w:eastAsia="Calibri" w:hAnsi="Calibri" w:cs="Calibri"/>
          <w:color w:val="000000"/>
          <w:sz w:val="22"/>
          <w:szCs w:val="22"/>
        </w:rPr>
        <w:t>Infosys is a large-cap Indian IT services and consulting company, listed on both NSE and BSE. The analysis below is based on its audited consolidated financial statements (IFRS) for FY2025 (year ended 31 Mar 2025) and FY2026 (year ended 31 Mar 2026), along with current market data as of 11 Sep 2026.</w:t>
      </w:r>
    </w:p>
    <w:p w14:paraId="6CC7543A" w14:textId="77777777" w:rsidR="00D25E78" w:rsidRDefault="00000000">
      <w:pPr>
        <w:spacing w:before="180" w:after="80"/>
      </w:pPr>
      <w:r>
        <w:rPr>
          <w:rFonts w:ascii="Calibri" w:eastAsia="Calibri" w:hAnsi="Calibri" w:cs="Calibri"/>
          <w:b/>
          <w:bCs/>
          <w:color w:val="000000"/>
          <w:sz w:val="22"/>
          <w:szCs w:val="22"/>
        </w:rPr>
        <w:t>1. Key Figures at a Glance (as of 11 Sep 2026)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000"/>
        <w:gridCol w:w="3000"/>
      </w:tblGrid>
      <w:tr w:rsidR="00D25E78" w:rsidRPr="00F662E5" w14:paraId="014C0196" w14:textId="77777777">
        <w:tblPrEx>
          <w:tblCellMar>
            <w:top w:w="0" w:type="dxa"/>
            <w:bottom w:w="0" w:type="dxa"/>
          </w:tblCellMar>
        </w:tblPrEx>
        <w:tc>
          <w:tcPr>
            <w:tcW w:w="3350" w:type="dxa"/>
            <w:shd w:val="clear" w:color="auto" w:fill="D9D9D9"/>
            <w:tcMar>
              <w:top w:w="60" w:type="dxa"/>
              <w:left w:w="100" w:type="dxa"/>
              <w:bottom w:w="60" w:type="dxa"/>
              <w:right w:w="100" w:type="dxa"/>
            </w:tcMar>
          </w:tcPr>
          <w:p w14:paraId="35F72085" w14:textId="77777777" w:rsidR="00D25E78" w:rsidRPr="00F662E5" w:rsidRDefault="00000000">
            <w:pPr>
              <w:rPr>
                <w:sz w:val="22"/>
                <w:szCs w:val="22"/>
              </w:rPr>
            </w:pPr>
            <w:r w:rsidRPr="00F662E5">
              <w:rPr>
                <w:rFonts w:ascii="Calibri" w:eastAsia="Calibri" w:hAnsi="Calibri" w:cs="Calibri"/>
                <w:b/>
                <w:bCs/>
                <w:color w:val="000000"/>
                <w:sz w:val="22"/>
                <w:szCs w:val="22"/>
              </w:rPr>
              <w:t>Metric</w:t>
            </w:r>
          </w:p>
        </w:tc>
        <w:tc>
          <w:tcPr>
            <w:tcW w:w="3000" w:type="dxa"/>
            <w:shd w:val="clear" w:color="auto" w:fill="D9D9D9"/>
            <w:tcMar>
              <w:top w:w="60" w:type="dxa"/>
              <w:left w:w="100" w:type="dxa"/>
              <w:bottom w:w="60" w:type="dxa"/>
              <w:right w:w="100" w:type="dxa"/>
            </w:tcMar>
          </w:tcPr>
          <w:p w14:paraId="64A75413" w14:textId="77777777" w:rsidR="00D25E78" w:rsidRPr="00F662E5" w:rsidRDefault="00000000">
            <w:pPr>
              <w:rPr>
                <w:sz w:val="22"/>
                <w:szCs w:val="22"/>
              </w:rPr>
            </w:pPr>
            <w:r w:rsidRPr="00F662E5">
              <w:rPr>
                <w:rFonts w:ascii="Calibri" w:eastAsia="Calibri" w:hAnsi="Calibri" w:cs="Calibri"/>
                <w:b/>
                <w:bCs/>
                <w:color w:val="000000"/>
                <w:sz w:val="22"/>
                <w:szCs w:val="22"/>
              </w:rPr>
              <w:t>Value</w:t>
            </w:r>
          </w:p>
        </w:tc>
        <w:tc>
          <w:tcPr>
            <w:tcW w:w="3000" w:type="dxa"/>
            <w:shd w:val="clear" w:color="auto" w:fill="D9D9D9"/>
            <w:tcMar>
              <w:top w:w="60" w:type="dxa"/>
              <w:left w:w="100" w:type="dxa"/>
              <w:bottom w:w="60" w:type="dxa"/>
              <w:right w:w="100" w:type="dxa"/>
            </w:tcMar>
          </w:tcPr>
          <w:p w14:paraId="02513ADE" w14:textId="77777777" w:rsidR="00D25E78" w:rsidRPr="00F662E5" w:rsidRDefault="00000000">
            <w:pPr>
              <w:rPr>
                <w:sz w:val="22"/>
                <w:szCs w:val="22"/>
              </w:rPr>
            </w:pPr>
            <w:r w:rsidRPr="00F662E5">
              <w:rPr>
                <w:rFonts w:ascii="Calibri" w:eastAsia="Calibri" w:hAnsi="Calibri" w:cs="Calibri"/>
                <w:b/>
                <w:bCs/>
                <w:color w:val="000000"/>
                <w:sz w:val="22"/>
                <w:szCs w:val="22"/>
              </w:rPr>
              <w:t>Notes</w:t>
            </w:r>
          </w:p>
        </w:tc>
      </w:tr>
      <w:tr w:rsidR="00D25E78" w:rsidRPr="00F662E5" w14:paraId="5DAFCA62" w14:textId="77777777">
        <w:tblPrEx>
          <w:tblCellMar>
            <w:top w:w="0" w:type="dxa"/>
            <w:bottom w:w="0" w:type="dxa"/>
          </w:tblCellMar>
        </w:tblPrEx>
        <w:tc>
          <w:tcPr>
            <w:tcW w:w="3350" w:type="dxa"/>
            <w:tcMar>
              <w:top w:w="60" w:type="dxa"/>
              <w:left w:w="100" w:type="dxa"/>
              <w:bottom w:w="60" w:type="dxa"/>
              <w:right w:w="100" w:type="dxa"/>
            </w:tcMar>
          </w:tcPr>
          <w:p w14:paraId="5BE58E0A" w14:textId="77777777" w:rsidR="00D25E78" w:rsidRPr="00F662E5" w:rsidRDefault="00000000">
            <w:pPr>
              <w:rPr>
                <w:sz w:val="22"/>
                <w:szCs w:val="22"/>
              </w:rPr>
            </w:pPr>
            <w:r w:rsidRPr="00F662E5">
              <w:rPr>
                <w:rFonts w:ascii="Calibri" w:eastAsia="Calibri" w:hAnsi="Calibri" w:cs="Calibri"/>
                <w:color w:val="000000"/>
                <w:sz w:val="22"/>
                <w:szCs w:val="22"/>
              </w:rPr>
              <w:t>Share Price</w:t>
            </w:r>
          </w:p>
        </w:tc>
        <w:tc>
          <w:tcPr>
            <w:tcW w:w="3000" w:type="dxa"/>
            <w:tcMar>
              <w:top w:w="60" w:type="dxa"/>
              <w:left w:w="100" w:type="dxa"/>
              <w:bottom w:w="60" w:type="dxa"/>
              <w:right w:w="100" w:type="dxa"/>
            </w:tcMar>
          </w:tcPr>
          <w:p w14:paraId="10870F77" w14:textId="77777777" w:rsidR="00D25E78" w:rsidRPr="00F662E5" w:rsidRDefault="00000000">
            <w:pPr>
              <w:rPr>
                <w:sz w:val="22"/>
                <w:szCs w:val="22"/>
              </w:rPr>
            </w:pPr>
            <w:r w:rsidRPr="00F662E5">
              <w:rPr>
                <w:rFonts w:ascii="Calibri" w:eastAsia="Calibri" w:hAnsi="Calibri" w:cs="Calibri"/>
                <w:color w:val="000000"/>
                <w:sz w:val="22"/>
                <w:szCs w:val="22"/>
              </w:rPr>
              <w:t>Rs 1,038</w:t>
            </w:r>
          </w:p>
        </w:tc>
        <w:tc>
          <w:tcPr>
            <w:tcW w:w="3000" w:type="dxa"/>
            <w:tcMar>
              <w:top w:w="60" w:type="dxa"/>
              <w:left w:w="100" w:type="dxa"/>
              <w:bottom w:w="60" w:type="dxa"/>
              <w:right w:w="100" w:type="dxa"/>
            </w:tcMar>
          </w:tcPr>
          <w:p w14:paraId="2868F5F0" w14:textId="77777777" w:rsidR="00D25E78" w:rsidRPr="00F662E5" w:rsidRDefault="00000000">
            <w:pPr>
              <w:rPr>
                <w:sz w:val="22"/>
                <w:szCs w:val="22"/>
              </w:rPr>
            </w:pPr>
            <w:r w:rsidRPr="00F662E5">
              <w:rPr>
                <w:rFonts w:ascii="Calibri" w:eastAsia="Calibri" w:hAnsi="Calibri" w:cs="Calibri"/>
                <w:color w:val="000000"/>
                <w:sz w:val="22"/>
                <w:szCs w:val="22"/>
              </w:rPr>
              <w:t>NSE, 11 Sep 2026</w:t>
            </w:r>
          </w:p>
        </w:tc>
      </w:tr>
      <w:tr w:rsidR="00D25E78" w:rsidRPr="00F662E5" w14:paraId="22A9C7C7" w14:textId="77777777">
        <w:tblPrEx>
          <w:tblCellMar>
            <w:top w:w="0" w:type="dxa"/>
            <w:bottom w:w="0" w:type="dxa"/>
          </w:tblCellMar>
        </w:tblPrEx>
        <w:tc>
          <w:tcPr>
            <w:tcW w:w="3350" w:type="dxa"/>
            <w:tcMar>
              <w:top w:w="60" w:type="dxa"/>
              <w:left w:w="100" w:type="dxa"/>
              <w:bottom w:w="60" w:type="dxa"/>
              <w:right w:w="100" w:type="dxa"/>
            </w:tcMar>
          </w:tcPr>
          <w:p w14:paraId="3BF3F568" w14:textId="77777777" w:rsidR="00D25E78" w:rsidRPr="00F662E5" w:rsidRDefault="00000000">
            <w:pPr>
              <w:rPr>
                <w:sz w:val="22"/>
                <w:szCs w:val="22"/>
              </w:rPr>
            </w:pPr>
            <w:r w:rsidRPr="00F662E5">
              <w:rPr>
                <w:rFonts w:ascii="Calibri" w:eastAsia="Calibri" w:hAnsi="Calibri" w:cs="Calibri"/>
                <w:color w:val="000000"/>
                <w:sz w:val="22"/>
                <w:szCs w:val="22"/>
              </w:rPr>
              <w:t>Market Capitalization</w:t>
            </w:r>
          </w:p>
        </w:tc>
        <w:tc>
          <w:tcPr>
            <w:tcW w:w="3000" w:type="dxa"/>
            <w:tcMar>
              <w:top w:w="60" w:type="dxa"/>
              <w:left w:w="100" w:type="dxa"/>
              <w:bottom w:w="60" w:type="dxa"/>
              <w:right w:w="100" w:type="dxa"/>
            </w:tcMar>
          </w:tcPr>
          <w:p w14:paraId="191A6E86" w14:textId="77777777" w:rsidR="00D25E78" w:rsidRPr="00F662E5" w:rsidRDefault="00000000">
            <w:pPr>
              <w:rPr>
                <w:sz w:val="22"/>
                <w:szCs w:val="22"/>
              </w:rPr>
            </w:pPr>
            <w:r w:rsidRPr="00F662E5">
              <w:rPr>
                <w:rFonts w:ascii="Calibri" w:eastAsia="Calibri" w:hAnsi="Calibri" w:cs="Calibri"/>
                <w:color w:val="000000"/>
                <w:sz w:val="22"/>
                <w:szCs w:val="22"/>
              </w:rPr>
              <w:t>Rs 4,20,636 Cr</w:t>
            </w:r>
          </w:p>
        </w:tc>
        <w:tc>
          <w:tcPr>
            <w:tcW w:w="3000" w:type="dxa"/>
            <w:tcMar>
              <w:top w:w="60" w:type="dxa"/>
              <w:left w:w="100" w:type="dxa"/>
              <w:bottom w:w="60" w:type="dxa"/>
              <w:right w:w="100" w:type="dxa"/>
            </w:tcMar>
          </w:tcPr>
          <w:p w14:paraId="260ED90E" w14:textId="77777777" w:rsidR="00D25E78" w:rsidRPr="00F662E5" w:rsidRDefault="00000000">
            <w:pPr>
              <w:rPr>
                <w:sz w:val="22"/>
                <w:szCs w:val="22"/>
              </w:rPr>
            </w:pPr>
            <w:r w:rsidRPr="00F662E5">
              <w:rPr>
                <w:rFonts w:ascii="Calibri" w:eastAsia="Calibri" w:hAnsi="Calibri" w:cs="Calibri"/>
                <w:color w:val="000000"/>
                <w:sz w:val="22"/>
                <w:szCs w:val="22"/>
              </w:rPr>
              <w:t>Large-cap</w:t>
            </w:r>
          </w:p>
        </w:tc>
      </w:tr>
      <w:tr w:rsidR="00D25E78" w:rsidRPr="00F662E5" w14:paraId="5B3F3372" w14:textId="77777777">
        <w:tblPrEx>
          <w:tblCellMar>
            <w:top w:w="0" w:type="dxa"/>
            <w:bottom w:w="0" w:type="dxa"/>
          </w:tblCellMar>
        </w:tblPrEx>
        <w:tc>
          <w:tcPr>
            <w:tcW w:w="3350" w:type="dxa"/>
            <w:tcMar>
              <w:top w:w="60" w:type="dxa"/>
              <w:left w:w="100" w:type="dxa"/>
              <w:bottom w:w="60" w:type="dxa"/>
              <w:right w:w="100" w:type="dxa"/>
            </w:tcMar>
          </w:tcPr>
          <w:p w14:paraId="6661E107" w14:textId="77777777" w:rsidR="00D25E78" w:rsidRPr="00F662E5" w:rsidRDefault="00000000">
            <w:pPr>
              <w:rPr>
                <w:sz w:val="22"/>
                <w:szCs w:val="22"/>
              </w:rPr>
            </w:pPr>
            <w:r w:rsidRPr="00F662E5">
              <w:rPr>
                <w:rFonts w:ascii="Calibri" w:eastAsia="Calibri" w:hAnsi="Calibri" w:cs="Calibri"/>
                <w:color w:val="000000"/>
                <w:sz w:val="22"/>
                <w:szCs w:val="22"/>
              </w:rPr>
              <w:t>P/E Ratio (TTM)</w:t>
            </w:r>
          </w:p>
        </w:tc>
        <w:tc>
          <w:tcPr>
            <w:tcW w:w="3000" w:type="dxa"/>
            <w:tcMar>
              <w:top w:w="60" w:type="dxa"/>
              <w:left w:w="100" w:type="dxa"/>
              <w:bottom w:w="60" w:type="dxa"/>
              <w:right w:w="100" w:type="dxa"/>
            </w:tcMar>
          </w:tcPr>
          <w:p w14:paraId="5402AB2C" w14:textId="77777777" w:rsidR="00D25E78" w:rsidRPr="00F662E5" w:rsidRDefault="00000000">
            <w:pPr>
              <w:rPr>
                <w:sz w:val="22"/>
                <w:szCs w:val="22"/>
              </w:rPr>
            </w:pPr>
            <w:r w:rsidRPr="00F662E5">
              <w:rPr>
                <w:rFonts w:ascii="Calibri" w:eastAsia="Calibri" w:hAnsi="Calibri" w:cs="Calibri"/>
                <w:color w:val="000000"/>
                <w:sz w:val="22"/>
                <w:szCs w:val="22"/>
              </w:rPr>
              <w:t>13.8x</w:t>
            </w:r>
          </w:p>
        </w:tc>
        <w:tc>
          <w:tcPr>
            <w:tcW w:w="3000" w:type="dxa"/>
            <w:tcMar>
              <w:top w:w="60" w:type="dxa"/>
              <w:left w:w="100" w:type="dxa"/>
              <w:bottom w:w="60" w:type="dxa"/>
              <w:right w:w="100" w:type="dxa"/>
            </w:tcMar>
          </w:tcPr>
          <w:p w14:paraId="056DAAD4" w14:textId="77777777" w:rsidR="00D25E78" w:rsidRPr="00F662E5" w:rsidRDefault="00000000">
            <w:pPr>
              <w:rPr>
                <w:sz w:val="22"/>
                <w:szCs w:val="22"/>
              </w:rPr>
            </w:pPr>
            <w:r w:rsidRPr="00F662E5">
              <w:rPr>
                <w:rFonts w:ascii="Calibri" w:eastAsia="Calibri" w:hAnsi="Calibri" w:cs="Calibri"/>
                <w:color w:val="000000"/>
                <w:sz w:val="22"/>
                <w:szCs w:val="22"/>
              </w:rPr>
              <w:t>Below 5-yr average (~24x)</w:t>
            </w:r>
          </w:p>
        </w:tc>
      </w:tr>
      <w:tr w:rsidR="00D25E78" w:rsidRPr="00F662E5" w14:paraId="7F2CACE0" w14:textId="77777777">
        <w:tblPrEx>
          <w:tblCellMar>
            <w:top w:w="0" w:type="dxa"/>
            <w:bottom w:w="0" w:type="dxa"/>
          </w:tblCellMar>
        </w:tblPrEx>
        <w:tc>
          <w:tcPr>
            <w:tcW w:w="3350" w:type="dxa"/>
            <w:tcMar>
              <w:top w:w="60" w:type="dxa"/>
              <w:left w:w="100" w:type="dxa"/>
              <w:bottom w:w="60" w:type="dxa"/>
              <w:right w:w="100" w:type="dxa"/>
            </w:tcMar>
          </w:tcPr>
          <w:p w14:paraId="22A5919B" w14:textId="77777777" w:rsidR="00D25E78" w:rsidRPr="00F662E5" w:rsidRDefault="00000000">
            <w:pPr>
              <w:rPr>
                <w:sz w:val="22"/>
                <w:szCs w:val="22"/>
              </w:rPr>
            </w:pPr>
            <w:r w:rsidRPr="00F662E5">
              <w:rPr>
                <w:rFonts w:ascii="Calibri" w:eastAsia="Calibri" w:hAnsi="Calibri" w:cs="Calibri"/>
                <w:color w:val="000000"/>
                <w:sz w:val="22"/>
                <w:szCs w:val="22"/>
              </w:rPr>
              <w:t>P/B Ratio</w:t>
            </w:r>
          </w:p>
        </w:tc>
        <w:tc>
          <w:tcPr>
            <w:tcW w:w="3000" w:type="dxa"/>
            <w:tcMar>
              <w:top w:w="60" w:type="dxa"/>
              <w:left w:w="100" w:type="dxa"/>
              <w:bottom w:w="60" w:type="dxa"/>
              <w:right w:w="100" w:type="dxa"/>
            </w:tcMar>
          </w:tcPr>
          <w:p w14:paraId="44CF9E15" w14:textId="77777777" w:rsidR="00D25E78" w:rsidRPr="00F662E5" w:rsidRDefault="00000000">
            <w:pPr>
              <w:rPr>
                <w:sz w:val="22"/>
                <w:szCs w:val="22"/>
              </w:rPr>
            </w:pPr>
            <w:r w:rsidRPr="00F662E5">
              <w:rPr>
                <w:rFonts w:ascii="Calibri" w:eastAsia="Calibri" w:hAnsi="Calibri" w:cs="Calibri"/>
                <w:color w:val="000000"/>
                <w:sz w:val="22"/>
                <w:szCs w:val="22"/>
              </w:rPr>
              <w:t>4.7x - 4.9x</w:t>
            </w:r>
          </w:p>
        </w:tc>
        <w:tc>
          <w:tcPr>
            <w:tcW w:w="3000" w:type="dxa"/>
            <w:tcMar>
              <w:top w:w="60" w:type="dxa"/>
              <w:left w:w="100" w:type="dxa"/>
              <w:bottom w:w="60" w:type="dxa"/>
              <w:right w:w="100" w:type="dxa"/>
            </w:tcMar>
          </w:tcPr>
          <w:p w14:paraId="6BF05D00" w14:textId="77777777" w:rsidR="00D25E78" w:rsidRPr="00F662E5" w:rsidRDefault="00000000">
            <w:pPr>
              <w:rPr>
                <w:sz w:val="22"/>
                <w:szCs w:val="22"/>
              </w:rPr>
            </w:pPr>
            <w:r w:rsidRPr="00F662E5">
              <w:rPr>
                <w:rFonts w:ascii="Calibri" w:eastAsia="Calibri" w:hAnsi="Calibri" w:cs="Calibri"/>
                <w:color w:val="000000"/>
                <w:sz w:val="22"/>
                <w:szCs w:val="22"/>
              </w:rPr>
              <w:t>Reflects asset-light IT model</w:t>
            </w:r>
          </w:p>
        </w:tc>
      </w:tr>
      <w:tr w:rsidR="00D25E78" w:rsidRPr="00F662E5" w14:paraId="417016A3" w14:textId="77777777">
        <w:tblPrEx>
          <w:tblCellMar>
            <w:top w:w="0" w:type="dxa"/>
            <w:bottom w:w="0" w:type="dxa"/>
          </w:tblCellMar>
        </w:tblPrEx>
        <w:tc>
          <w:tcPr>
            <w:tcW w:w="3350" w:type="dxa"/>
            <w:tcMar>
              <w:top w:w="60" w:type="dxa"/>
              <w:left w:w="100" w:type="dxa"/>
              <w:bottom w:w="60" w:type="dxa"/>
              <w:right w:w="100" w:type="dxa"/>
            </w:tcMar>
          </w:tcPr>
          <w:p w14:paraId="6FF11285" w14:textId="77777777" w:rsidR="00D25E78" w:rsidRPr="00F662E5" w:rsidRDefault="00000000">
            <w:pPr>
              <w:rPr>
                <w:sz w:val="22"/>
                <w:szCs w:val="22"/>
              </w:rPr>
            </w:pPr>
            <w:r w:rsidRPr="00F662E5">
              <w:rPr>
                <w:rFonts w:ascii="Calibri" w:eastAsia="Calibri" w:hAnsi="Calibri" w:cs="Calibri"/>
                <w:color w:val="000000"/>
                <w:sz w:val="22"/>
                <w:szCs w:val="22"/>
              </w:rPr>
              <w:t>EPS (TTM)</w:t>
            </w:r>
          </w:p>
        </w:tc>
        <w:tc>
          <w:tcPr>
            <w:tcW w:w="3000" w:type="dxa"/>
            <w:tcMar>
              <w:top w:w="60" w:type="dxa"/>
              <w:left w:w="100" w:type="dxa"/>
              <w:bottom w:w="60" w:type="dxa"/>
              <w:right w:w="100" w:type="dxa"/>
            </w:tcMar>
          </w:tcPr>
          <w:p w14:paraId="0E606FFB" w14:textId="77777777" w:rsidR="00D25E78" w:rsidRPr="00F662E5" w:rsidRDefault="00000000">
            <w:pPr>
              <w:rPr>
                <w:sz w:val="22"/>
                <w:szCs w:val="22"/>
              </w:rPr>
            </w:pPr>
            <w:r w:rsidRPr="00F662E5">
              <w:rPr>
                <w:rFonts w:ascii="Calibri" w:eastAsia="Calibri" w:hAnsi="Calibri" w:cs="Calibri"/>
                <w:color w:val="000000"/>
                <w:sz w:val="22"/>
                <w:szCs w:val="22"/>
              </w:rPr>
              <w:t>Rs 74.7 - 76.7</w:t>
            </w:r>
          </w:p>
        </w:tc>
        <w:tc>
          <w:tcPr>
            <w:tcW w:w="3000" w:type="dxa"/>
            <w:tcMar>
              <w:top w:w="60" w:type="dxa"/>
              <w:left w:w="100" w:type="dxa"/>
              <w:bottom w:w="60" w:type="dxa"/>
              <w:right w:w="100" w:type="dxa"/>
            </w:tcMar>
          </w:tcPr>
          <w:p w14:paraId="24B4A6CF" w14:textId="77777777" w:rsidR="00D25E78" w:rsidRPr="00F662E5" w:rsidRDefault="00000000">
            <w:pPr>
              <w:rPr>
                <w:sz w:val="22"/>
                <w:szCs w:val="22"/>
              </w:rPr>
            </w:pPr>
            <w:r w:rsidRPr="00F662E5">
              <w:rPr>
                <w:rFonts w:ascii="Calibri" w:eastAsia="Calibri" w:hAnsi="Calibri" w:cs="Calibri"/>
                <w:color w:val="000000"/>
                <w:sz w:val="22"/>
                <w:szCs w:val="22"/>
              </w:rPr>
              <w:t>Trailing twelve months</w:t>
            </w:r>
          </w:p>
        </w:tc>
      </w:tr>
      <w:tr w:rsidR="00D25E78" w:rsidRPr="00F662E5" w14:paraId="076C8E89" w14:textId="77777777">
        <w:tblPrEx>
          <w:tblCellMar>
            <w:top w:w="0" w:type="dxa"/>
            <w:bottom w:w="0" w:type="dxa"/>
          </w:tblCellMar>
        </w:tblPrEx>
        <w:tc>
          <w:tcPr>
            <w:tcW w:w="3350" w:type="dxa"/>
            <w:tcMar>
              <w:top w:w="60" w:type="dxa"/>
              <w:left w:w="100" w:type="dxa"/>
              <w:bottom w:w="60" w:type="dxa"/>
              <w:right w:w="100" w:type="dxa"/>
            </w:tcMar>
          </w:tcPr>
          <w:p w14:paraId="042130FA" w14:textId="77777777" w:rsidR="00D25E78" w:rsidRPr="00F662E5" w:rsidRDefault="00000000">
            <w:pPr>
              <w:rPr>
                <w:sz w:val="22"/>
                <w:szCs w:val="22"/>
              </w:rPr>
            </w:pPr>
            <w:r w:rsidRPr="00F662E5">
              <w:rPr>
                <w:rFonts w:ascii="Calibri" w:eastAsia="Calibri" w:hAnsi="Calibri" w:cs="Calibri"/>
                <w:color w:val="000000"/>
                <w:sz w:val="22"/>
                <w:szCs w:val="22"/>
              </w:rPr>
              <w:t>Dividend Yield</w:t>
            </w:r>
          </w:p>
        </w:tc>
        <w:tc>
          <w:tcPr>
            <w:tcW w:w="3000" w:type="dxa"/>
            <w:tcMar>
              <w:top w:w="60" w:type="dxa"/>
              <w:left w:w="100" w:type="dxa"/>
              <w:bottom w:w="60" w:type="dxa"/>
              <w:right w:w="100" w:type="dxa"/>
            </w:tcMar>
          </w:tcPr>
          <w:p w14:paraId="08609E6C" w14:textId="77777777" w:rsidR="00D25E78" w:rsidRPr="00F662E5" w:rsidRDefault="00000000">
            <w:pPr>
              <w:rPr>
                <w:sz w:val="22"/>
                <w:szCs w:val="22"/>
              </w:rPr>
            </w:pPr>
            <w:r w:rsidRPr="00F662E5">
              <w:rPr>
                <w:rFonts w:ascii="Calibri" w:eastAsia="Calibri" w:hAnsi="Calibri" w:cs="Calibri"/>
                <w:color w:val="000000"/>
                <w:sz w:val="22"/>
                <w:szCs w:val="22"/>
              </w:rPr>
              <w:t>~4.6%</w:t>
            </w:r>
          </w:p>
        </w:tc>
        <w:tc>
          <w:tcPr>
            <w:tcW w:w="3000" w:type="dxa"/>
            <w:tcMar>
              <w:top w:w="60" w:type="dxa"/>
              <w:left w:w="100" w:type="dxa"/>
              <w:bottom w:w="60" w:type="dxa"/>
              <w:right w:w="100" w:type="dxa"/>
            </w:tcMar>
          </w:tcPr>
          <w:p w14:paraId="7DAA402A" w14:textId="77777777" w:rsidR="00D25E78" w:rsidRPr="00F662E5" w:rsidRDefault="00000000">
            <w:pPr>
              <w:rPr>
                <w:sz w:val="22"/>
                <w:szCs w:val="22"/>
              </w:rPr>
            </w:pPr>
            <w:r w:rsidRPr="00F662E5">
              <w:rPr>
                <w:rFonts w:ascii="Calibri" w:eastAsia="Calibri" w:hAnsi="Calibri" w:cs="Calibri"/>
                <w:color w:val="000000"/>
                <w:sz w:val="22"/>
                <w:szCs w:val="22"/>
              </w:rPr>
              <w:t>High for the IT sector</w:t>
            </w:r>
          </w:p>
        </w:tc>
      </w:tr>
      <w:tr w:rsidR="00D25E78" w:rsidRPr="00F662E5" w14:paraId="2591222A" w14:textId="77777777">
        <w:tblPrEx>
          <w:tblCellMar>
            <w:top w:w="0" w:type="dxa"/>
            <w:bottom w:w="0" w:type="dxa"/>
          </w:tblCellMar>
        </w:tblPrEx>
        <w:tc>
          <w:tcPr>
            <w:tcW w:w="3350" w:type="dxa"/>
            <w:tcMar>
              <w:top w:w="60" w:type="dxa"/>
              <w:left w:w="100" w:type="dxa"/>
              <w:bottom w:w="60" w:type="dxa"/>
              <w:right w:w="100" w:type="dxa"/>
            </w:tcMar>
          </w:tcPr>
          <w:p w14:paraId="6AA4DA3C" w14:textId="77777777" w:rsidR="00D25E78" w:rsidRPr="00F662E5" w:rsidRDefault="00000000">
            <w:pPr>
              <w:rPr>
                <w:sz w:val="22"/>
                <w:szCs w:val="22"/>
              </w:rPr>
            </w:pPr>
            <w:r w:rsidRPr="00F662E5">
              <w:rPr>
                <w:rFonts w:ascii="Calibri" w:eastAsia="Calibri" w:hAnsi="Calibri" w:cs="Calibri"/>
                <w:color w:val="000000"/>
                <w:sz w:val="22"/>
                <w:szCs w:val="22"/>
              </w:rPr>
              <w:t>Return on Equity (ROE)</w:t>
            </w:r>
          </w:p>
        </w:tc>
        <w:tc>
          <w:tcPr>
            <w:tcW w:w="3000" w:type="dxa"/>
            <w:tcMar>
              <w:top w:w="60" w:type="dxa"/>
              <w:left w:w="100" w:type="dxa"/>
              <w:bottom w:w="60" w:type="dxa"/>
              <w:right w:w="100" w:type="dxa"/>
            </w:tcMar>
          </w:tcPr>
          <w:p w14:paraId="5155200A" w14:textId="77777777" w:rsidR="00D25E78" w:rsidRPr="00F662E5" w:rsidRDefault="00000000">
            <w:pPr>
              <w:rPr>
                <w:sz w:val="22"/>
                <w:szCs w:val="22"/>
              </w:rPr>
            </w:pPr>
            <w:r w:rsidRPr="00F662E5">
              <w:rPr>
                <w:rFonts w:ascii="Calibri" w:eastAsia="Calibri" w:hAnsi="Calibri" w:cs="Calibri"/>
                <w:color w:val="000000"/>
                <w:sz w:val="22"/>
                <w:szCs w:val="22"/>
              </w:rPr>
              <w:t>~31.6% - 34.7%</w:t>
            </w:r>
          </w:p>
        </w:tc>
        <w:tc>
          <w:tcPr>
            <w:tcW w:w="3000" w:type="dxa"/>
            <w:tcMar>
              <w:top w:w="60" w:type="dxa"/>
              <w:left w:w="100" w:type="dxa"/>
              <w:bottom w:w="60" w:type="dxa"/>
              <w:right w:w="100" w:type="dxa"/>
            </w:tcMar>
          </w:tcPr>
          <w:p w14:paraId="49BAFD38" w14:textId="77777777" w:rsidR="00D25E78" w:rsidRPr="00F662E5" w:rsidRDefault="00000000">
            <w:pPr>
              <w:rPr>
                <w:sz w:val="22"/>
                <w:szCs w:val="22"/>
              </w:rPr>
            </w:pPr>
            <w:r w:rsidRPr="00F662E5">
              <w:rPr>
                <w:rFonts w:ascii="Calibri" w:eastAsia="Calibri" w:hAnsi="Calibri" w:cs="Calibri"/>
                <w:color w:val="000000"/>
                <w:sz w:val="22"/>
                <w:szCs w:val="22"/>
              </w:rPr>
              <w:t>Strong capital efficiency</w:t>
            </w:r>
          </w:p>
        </w:tc>
      </w:tr>
    </w:tbl>
    <w:p w14:paraId="4BD87069" w14:textId="77777777" w:rsidR="00D25E78" w:rsidRPr="00F662E5" w:rsidRDefault="00000000">
      <w:pPr>
        <w:spacing w:before="180" w:after="80"/>
        <w:rPr>
          <w:sz w:val="22"/>
          <w:szCs w:val="22"/>
        </w:rPr>
      </w:pPr>
      <w:r w:rsidRPr="00F662E5">
        <w:rPr>
          <w:rFonts w:ascii="Calibri" w:eastAsia="Calibri" w:hAnsi="Calibri" w:cs="Calibri"/>
          <w:b/>
          <w:bCs/>
          <w:color w:val="000000"/>
          <w:sz w:val="22"/>
          <w:szCs w:val="22"/>
        </w:rPr>
        <w:t>2. Profit &amp; Loss Statement (Consolidated, IFRS, Rs Crore)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000"/>
        <w:gridCol w:w="3000"/>
      </w:tblGrid>
      <w:tr w:rsidR="00D25E78" w:rsidRPr="00F662E5" w14:paraId="5BB23CC9" w14:textId="77777777">
        <w:tblPrEx>
          <w:tblCellMar>
            <w:top w:w="0" w:type="dxa"/>
            <w:bottom w:w="0" w:type="dxa"/>
          </w:tblCellMar>
        </w:tblPrEx>
        <w:tc>
          <w:tcPr>
            <w:tcW w:w="3350" w:type="dxa"/>
            <w:shd w:val="clear" w:color="auto" w:fill="D9D9D9"/>
            <w:tcMar>
              <w:top w:w="60" w:type="dxa"/>
              <w:left w:w="100" w:type="dxa"/>
              <w:bottom w:w="60" w:type="dxa"/>
              <w:right w:w="100" w:type="dxa"/>
            </w:tcMar>
          </w:tcPr>
          <w:p w14:paraId="495D4D1A" w14:textId="77777777" w:rsidR="00D25E78" w:rsidRPr="00F662E5" w:rsidRDefault="00000000">
            <w:pPr>
              <w:rPr>
                <w:sz w:val="22"/>
                <w:szCs w:val="22"/>
              </w:rPr>
            </w:pPr>
            <w:r w:rsidRPr="00F662E5">
              <w:rPr>
                <w:rFonts w:ascii="Calibri" w:eastAsia="Calibri" w:hAnsi="Calibri" w:cs="Calibri"/>
                <w:b/>
                <w:bCs/>
                <w:color w:val="000000"/>
                <w:sz w:val="22"/>
                <w:szCs w:val="22"/>
              </w:rPr>
              <w:t>Particulars</w:t>
            </w:r>
          </w:p>
        </w:tc>
        <w:tc>
          <w:tcPr>
            <w:tcW w:w="3000" w:type="dxa"/>
            <w:shd w:val="clear" w:color="auto" w:fill="D9D9D9"/>
            <w:tcMar>
              <w:top w:w="60" w:type="dxa"/>
              <w:left w:w="100" w:type="dxa"/>
              <w:bottom w:w="60" w:type="dxa"/>
              <w:right w:w="100" w:type="dxa"/>
            </w:tcMar>
          </w:tcPr>
          <w:p w14:paraId="1B63B9EF" w14:textId="77777777" w:rsidR="00D25E78" w:rsidRPr="00F662E5" w:rsidRDefault="00000000">
            <w:pPr>
              <w:rPr>
                <w:sz w:val="22"/>
                <w:szCs w:val="22"/>
              </w:rPr>
            </w:pPr>
            <w:r w:rsidRPr="00F662E5">
              <w:rPr>
                <w:rFonts w:ascii="Calibri" w:eastAsia="Calibri" w:hAnsi="Calibri" w:cs="Calibri"/>
                <w:b/>
                <w:bCs/>
                <w:color w:val="000000"/>
                <w:sz w:val="22"/>
                <w:szCs w:val="22"/>
              </w:rPr>
              <w:t>FY2025</w:t>
            </w:r>
          </w:p>
        </w:tc>
        <w:tc>
          <w:tcPr>
            <w:tcW w:w="3000" w:type="dxa"/>
            <w:shd w:val="clear" w:color="auto" w:fill="D9D9D9"/>
            <w:tcMar>
              <w:top w:w="60" w:type="dxa"/>
              <w:left w:w="100" w:type="dxa"/>
              <w:bottom w:w="60" w:type="dxa"/>
              <w:right w:w="100" w:type="dxa"/>
            </w:tcMar>
          </w:tcPr>
          <w:p w14:paraId="5BE0D758" w14:textId="77777777" w:rsidR="00D25E78" w:rsidRPr="00F662E5" w:rsidRDefault="00000000">
            <w:pPr>
              <w:rPr>
                <w:sz w:val="22"/>
                <w:szCs w:val="22"/>
              </w:rPr>
            </w:pPr>
            <w:r w:rsidRPr="00F662E5">
              <w:rPr>
                <w:rFonts w:ascii="Calibri" w:eastAsia="Calibri" w:hAnsi="Calibri" w:cs="Calibri"/>
                <w:b/>
                <w:bCs/>
                <w:color w:val="000000"/>
                <w:sz w:val="22"/>
                <w:szCs w:val="22"/>
              </w:rPr>
              <w:t>FY2026</w:t>
            </w:r>
          </w:p>
        </w:tc>
      </w:tr>
      <w:tr w:rsidR="00D25E78" w:rsidRPr="00F662E5" w14:paraId="5C00DAC5" w14:textId="77777777">
        <w:tblPrEx>
          <w:tblCellMar>
            <w:top w:w="0" w:type="dxa"/>
            <w:bottom w:w="0" w:type="dxa"/>
          </w:tblCellMar>
        </w:tblPrEx>
        <w:tc>
          <w:tcPr>
            <w:tcW w:w="3350" w:type="dxa"/>
            <w:tcMar>
              <w:top w:w="60" w:type="dxa"/>
              <w:left w:w="100" w:type="dxa"/>
              <w:bottom w:w="60" w:type="dxa"/>
              <w:right w:w="100" w:type="dxa"/>
            </w:tcMar>
          </w:tcPr>
          <w:p w14:paraId="5FD2C17C" w14:textId="77777777" w:rsidR="00D25E78" w:rsidRPr="00F662E5" w:rsidRDefault="00000000">
            <w:pPr>
              <w:rPr>
                <w:sz w:val="22"/>
                <w:szCs w:val="22"/>
              </w:rPr>
            </w:pPr>
            <w:r w:rsidRPr="00F662E5">
              <w:rPr>
                <w:rFonts w:ascii="Calibri" w:eastAsia="Calibri" w:hAnsi="Calibri" w:cs="Calibri"/>
                <w:color w:val="000000"/>
                <w:sz w:val="22"/>
                <w:szCs w:val="22"/>
              </w:rPr>
              <w:t>Revenue from Operations</w:t>
            </w:r>
          </w:p>
        </w:tc>
        <w:tc>
          <w:tcPr>
            <w:tcW w:w="3000" w:type="dxa"/>
            <w:tcMar>
              <w:top w:w="60" w:type="dxa"/>
              <w:left w:w="100" w:type="dxa"/>
              <w:bottom w:w="60" w:type="dxa"/>
              <w:right w:w="100" w:type="dxa"/>
            </w:tcMar>
          </w:tcPr>
          <w:p w14:paraId="3355A36A" w14:textId="77777777" w:rsidR="00D25E78" w:rsidRPr="00F662E5" w:rsidRDefault="00000000">
            <w:pPr>
              <w:rPr>
                <w:sz w:val="22"/>
                <w:szCs w:val="22"/>
              </w:rPr>
            </w:pPr>
            <w:r w:rsidRPr="00F662E5">
              <w:rPr>
                <w:rFonts w:ascii="Calibri" w:eastAsia="Calibri" w:hAnsi="Calibri" w:cs="Calibri"/>
                <w:color w:val="000000"/>
                <w:sz w:val="22"/>
                <w:szCs w:val="22"/>
              </w:rPr>
              <w:t>1,62,990</w:t>
            </w:r>
          </w:p>
        </w:tc>
        <w:tc>
          <w:tcPr>
            <w:tcW w:w="3000" w:type="dxa"/>
            <w:tcMar>
              <w:top w:w="60" w:type="dxa"/>
              <w:left w:w="100" w:type="dxa"/>
              <w:bottom w:w="60" w:type="dxa"/>
              <w:right w:w="100" w:type="dxa"/>
            </w:tcMar>
          </w:tcPr>
          <w:p w14:paraId="776AEC86" w14:textId="77777777" w:rsidR="00D25E78" w:rsidRPr="00F662E5" w:rsidRDefault="00000000">
            <w:pPr>
              <w:rPr>
                <w:sz w:val="22"/>
                <w:szCs w:val="22"/>
              </w:rPr>
            </w:pPr>
            <w:r w:rsidRPr="00F662E5">
              <w:rPr>
                <w:rFonts w:ascii="Calibri" w:eastAsia="Calibri" w:hAnsi="Calibri" w:cs="Calibri"/>
                <w:color w:val="000000"/>
                <w:sz w:val="22"/>
                <w:szCs w:val="22"/>
              </w:rPr>
              <w:t>1,78,650 (+9.6%)</w:t>
            </w:r>
          </w:p>
        </w:tc>
      </w:tr>
      <w:tr w:rsidR="00D25E78" w:rsidRPr="00F662E5" w14:paraId="3C85221E" w14:textId="77777777">
        <w:tblPrEx>
          <w:tblCellMar>
            <w:top w:w="0" w:type="dxa"/>
            <w:bottom w:w="0" w:type="dxa"/>
          </w:tblCellMar>
        </w:tblPrEx>
        <w:tc>
          <w:tcPr>
            <w:tcW w:w="3350" w:type="dxa"/>
            <w:tcMar>
              <w:top w:w="60" w:type="dxa"/>
              <w:left w:w="100" w:type="dxa"/>
              <w:bottom w:w="60" w:type="dxa"/>
              <w:right w:w="100" w:type="dxa"/>
            </w:tcMar>
          </w:tcPr>
          <w:p w14:paraId="27D5AEC7" w14:textId="77777777" w:rsidR="00D25E78" w:rsidRPr="00F662E5" w:rsidRDefault="00000000">
            <w:pPr>
              <w:rPr>
                <w:sz w:val="22"/>
                <w:szCs w:val="22"/>
              </w:rPr>
            </w:pPr>
            <w:r w:rsidRPr="00F662E5">
              <w:rPr>
                <w:rFonts w:ascii="Calibri" w:eastAsia="Calibri" w:hAnsi="Calibri" w:cs="Calibri"/>
                <w:color w:val="000000"/>
                <w:sz w:val="22"/>
                <w:szCs w:val="22"/>
              </w:rPr>
              <w:t>Operating Profit</w:t>
            </w:r>
          </w:p>
        </w:tc>
        <w:tc>
          <w:tcPr>
            <w:tcW w:w="3000" w:type="dxa"/>
            <w:tcMar>
              <w:top w:w="60" w:type="dxa"/>
              <w:left w:w="100" w:type="dxa"/>
              <w:bottom w:w="60" w:type="dxa"/>
              <w:right w:w="100" w:type="dxa"/>
            </w:tcMar>
          </w:tcPr>
          <w:p w14:paraId="4B9EE1C2" w14:textId="77777777" w:rsidR="00D25E78" w:rsidRPr="00F662E5" w:rsidRDefault="00000000">
            <w:pPr>
              <w:rPr>
                <w:sz w:val="22"/>
                <w:szCs w:val="22"/>
              </w:rPr>
            </w:pPr>
            <w:r w:rsidRPr="00F662E5">
              <w:rPr>
                <w:rFonts w:ascii="Calibri" w:eastAsia="Calibri" w:hAnsi="Calibri" w:cs="Calibri"/>
                <w:color w:val="000000"/>
                <w:sz w:val="22"/>
                <w:szCs w:val="22"/>
              </w:rPr>
              <w:t>34,424</w:t>
            </w:r>
          </w:p>
        </w:tc>
        <w:tc>
          <w:tcPr>
            <w:tcW w:w="3000" w:type="dxa"/>
            <w:tcMar>
              <w:top w:w="60" w:type="dxa"/>
              <w:left w:w="100" w:type="dxa"/>
              <w:bottom w:w="60" w:type="dxa"/>
              <w:right w:w="100" w:type="dxa"/>
            </w:tcMar>
          </w:tcPr>
          <w:p w14:paraId="2947A4AC" w14:textId="77777777" w:rsidR="00D25E78" w:rsidRPr="00F662E5" w:rsidRDefault="00000000">
            <w:pPr>
              <w:rPr>
                <w:sz w:val="22"/>
                <w:szCs w:val="22"/>
              </w:rPr>
            </w:pPr>
            <w:r w:rsidRPr="00F662E5">
              <w:rPr>
                <w:rFonts w:ascii="Calibri" w:eastAsia="Calibri" w:hAnsi="Calibri" w:cs="Calibri"/>
                <w:color w:val="000000"/>
                <w:sz w:val="22"/>
                <w:szCs w:val="22"/>
              </w:rPr>
              <w:t>36,254 (+5.3%)</w:t>
            </w:r>
          </w:p>
        </w:tc>
      </w:tr>
      <w:tr w:rsidR="00D25E78" w:rsidRPr="00F662E5" w14:paraId="5254FCCB" w14:textId="77777777">
        <w:tblPrEx>
          <w:tblCellMar>
            <w:top w:w="0" w:type="dxa"/>
            <w:bottom w:w="0" w:type="dxa"/>
          </w:tblCellMar>
        </w:tblPrEx>
        <w:tc>
          <w:tcPr>
            <w:tcW w:w="3350" w:type="dxa"/>
            <w:tcMar>
              <w:top w:w="60" w:type="dxa"/>
              <w:left w:w="100" w:type="dxa"/>
              <w:bottom w:w="60" w:type="dxa"/>
              <w:right w:w="100" w:type="dxa"/>
            </w:tcMar>
          </w:tcPr>
          <w:p w14:paraId="5A7AA540" w14:textId="77777777" w:rsidR="00D25E78" w:rsidRPr="00F662E5" w:rsidRDefault="00000000">
            <w:pPr>
              <w:rPr>
                <w:sz w:val="22"/>
                <w:szCs w:val="22"/>
              </w:rPr>
            </w:pPr>
            <w:r w:rsidRPr="00F662E5">
              <w:rPr>
                <w:rFonts w:ascii="Calibri" w:eastAsia="Calibri" w:hAnsi="Calibri" w:cs="Calibri"/>
                <w:color w:val="000000"/>
                <w:sz w:val="22"/>
                <w:szCs w:val="22"/>
              </w:rPr>
              <w:t>Operating Margin</w:t>
            </w:r>
          </w:p>
        </w:tc>
        <w:tc>
          <w:tcPr>
            <w:tcW w:w="3000" w:type="dxa"/>
            <w:tcMar>
              <w:top w:w="60" w:type="dxa"/>
              <w:left w:w="100" w:type="dxa"/>
              <w:bottom w:w="60" w:type="dxa"/>
              <w:right w:w="100" w:type="dxa"/>
            </w:tcMar>
          </w:tcPr>
          <w:p w14:paraId="2E22659D" w14:textId="77777777" w:rsidR="00D25E78" w:rsidRPr="00F662E5" w:rsidRDefault="00000000">
            <w:pPr>
              <w:rPr>
                <w:sz w:val="22"/>
                <w:szCs w:val="22"/>
              </w:rPr>
            </w:pPr>
            <w:r w:rsidRPr="00F662E5">
              <w:rPr>
                <w:rFonts w:ascii="Calibri" w:eastAsia="Calibri" w:hAnsi="Calibri" w:cs="Calibri"/>
                <w:color w:val="000000"/>
                <w:sz w:val="22"/>
                <w:szCs w:val="22"/>
              </w:rPr>
              <w:t>21.1%</w:t>
            </w:r>
          </w:p>
        </w:tc>
        <w:tc>
          <w:tcPr>
            <w:tcW w:w="3000" w:type="dxa"/>
            <w:tcMar>
              <w:top w:w="60" w:type="dxa"/>
              <w:left w:w="100" w:type="dxa"/>
              <w:bottom w:w="60" w:type="dxa"/>
              <w:right w:w="100" w:type="dxa"/>
            </w:tcMar>
          </w:tcPr>
          <w:p w14:paraId="78A0F7F2" w14:textId="77777777" w:rsidR="00D25E78" w:rsidRPr="00F662E5" w:rsidRDefault="00000000">
            <w:pPr>
              <w:rPr>
                <w:sz w:val="22"/>
                <w:szCs w:val="22"/>
              </w:rPr>
            </w:pPr>
            <w:r w:rsidRPr="00F662E5">
              <w:rPr>
                <w:rFonts w:ascii="Calibri" w:eastAsia="Calibri" w:hAnsi="Calibri" w:cs="Calibri"/>
                <w:color w:val="000000"/>
                <w:sz w:val="22"/>
                <w:szCs w:val="22"/>
              </w:rPr>
              <w:t>20.3%</w:t>
            </w:r>
          </w:p>
        </w:tc>
      </w:tr>
      <w:tr w:rsidR="00D25E78" w:rsidRPr="00F662E5" w14:paraId="7FA393BF" w14:textId="77777777">
        <w:tblPrEx>
          <w:tblCellMar>
            <w:top w:w="0" w:type="dxa"/>
            <w:bottom w:w="0" w:type="dxa"/>
          </w:tblCellMar>
        </w:tblPrEx>
        <w:tc>
          <w:tcPr>
            <w:tcW w:w="3350" w:type="dxa"/>
            <w:tcMar>
              <w:top w:w="60" w:type="dxa"/>
              <w:left w:w="100" w:type="dxa"/>
              <w:bottom w:w="60" w:type="dxa"/>
              <w:right w:w="100" w:type="dxa"/>
            </w:tcMar>
          </w:tcPr>
          <w:p w14:paraId="2172D795" w14:textId="77777777" w:rsidR="00D25E78" w:rsidRPr="00F662E5" w:rsidRDefault="00000000">
            <w:pPr>
              <w:rPr>
                <w:sz w:val="22"/>
                <w:szCs w:val="22"/>
              </w:rPr>
            </w:pPr>
            <w:r w:rsidRPr="00F662E5">
              <w:rPr>
                <w:rFonts w:ascii="Calibri" w:eastAsia="Calibri" w:hAnsi="Calibri" w:cs="Calibri"/>
                <w:color w:val="000000"/>
                <w:sz w:val="22"/>
                <w:szCs w:val="22"/>
              </w:rPr>
              <w:t>Profit Before Tax</w:t>
            </w:r>
          </w:p>
        </w:tc>
        <w:tc>
          <w:tcPr>
            <w:tcW w:w="3000" w:type="dxa"/>
            <w:tcMar>
              <w:top w:w="60" w:type="dxa"/>
              <w:left w:w="100" w:type="dxa"/>
              <w:bottom w:w="60" w:type="dxa"/>
              <w:right w:w="100" w:type="dxa"/>
            </w:tcMar>
          </w:tcPr>
          <w:p w14:paraId="4DC52ED1" w14:textId="77777777" w:rsidR="00D25E78" w:rsidRPr="00F662E5" w:rsidRDefault="00000000">
            <w:pPr>
              <w:rPr>
                <w:sz w:val="22"/>
                <w:szCs w:val="22"/>
              </w:rPr>
            </w:pPr>
            <w:r w:rsidRPr="00F662E5">
              <w:rPr>
                <w:rFonts w:ascii="Calibri" w:eastAsia="Calibri" w:hAnsi="Calibri" w:cs="Calibri"/>
                <w:color w:val="000000"/>
                <w:sz w:val="22"/>
                <w:szCs w:val="22"/>
              </w:rPr>
              <w:t>37,608</w:t>
            </w:r>
          </w:p>
        </w:tc>
        <w:tc>
          <w:tcPr>
            <w:tcW w:w="3000" w:type="dxa"/>
            <w:tcMar>
              <w:top w:w="60" w:type="dxa"/>
              <w:left w:w="100" w:type="dxa"/>
              <w:bottom w:w="60" w:type="dxa"/>
              <w:right w:w="100" w:type="dxa"/>
            </w:tcMar>
          </w:tcPr>
          <w:p w14:paraId="20A1F0E7" w14:textId="77777777" w:rsidR="00D25E78" w:rsidRPr="00F662E5" w:rsidRDefault="00000000">
            <w:pPr>
              <w:rPr>
                <w:sz w:val="22"/>
                <w:szCs w:val="22"/>
              </w:rPr>
            </w:pPr>
            <w:r w:rsidRPr="00F662E5">
              <w:rPr>
                <w:rFonts w:ascii="Calibri" w:eastAsia="Calibri" w:hAnsi="Calibri" w:cs="Calibri"/>
                <w:color w:val="000000"/>
                <w:sz w:val="22"/>
                <w:szCs w:val="22"/>
              </w:rPr>
              <w:t>39,995</w:t>
            </w:r>
          </w:p>
        </w:tc>
      </w:tr>
      <w:tr w:rsidR="00D25E78" w:rsidRPr="00F662E5" w14:paraId="3B351C73" w14:textId="77777777">
        <w:tblPrEx>
          <w:tblCellMar>
            <w:top w:w="0" w:type="dxa"/>
            <w:bottom w:w="0" w:type="dxa"/>
          </w:tblCellMar>
        </w:tblPrEx>
        <w:tc>
          <w:tcPr>
            <w:tcW w:w="3350" w:type="dxa"/>
            <w:tcMar>
              <w:top w:w="60" w:type="dxa"/>
              <w:left w:w="100" w:type="dxa"/>
              <w:bottom w:w="60" w:type="dxa"/>
              <w:right w:w="100" w:type="dxa"/>
            </w:tcMar>
          </w:tcPr>
          <w:p w14:paraId="416811AE" w14:textId="77777777" w:rsidR="00D25E78" w:rsidRPr="00F662E5" w:rsidRDefault="00000000">
            <w:pPr>
              <w:rPr>
                <w:sz w:val="22"/>
                <w:szCs w:val="22"/>
              </w:rPr>
            </w:pPr>
            <w:r w:rsidRPr="00F662E5">
              <w:rPr>
                <w:rFonts w:ascii="Calibri" w:eastAsia="Calibri" w:hAnsi="Calibri" w:cs="Calibri"/>
                <w:color w:val="000000"/>
                <w:sz w:val="22"/>
                <w:szCs w:val="22"/>
              </w:rPr>
              <w:t>Net Profit (PAT)</w:t>
            </w:r>
          </w:p>
        </w:tc>
        <w:tc>
          <w:tcPr>
            <w:tcW w:w="3000" w:type="dxa"/>
            <w:tcMar>
              <w:top w:w="60" w:type="dxa"/>
              <w:left w:w="100" w:type="dxa"/>
              <w:bottom w:w="60" w:type="dxa"/>
              <w:right w:w="100" w:type="dxa"/>
            </w:tcMar>
          </w:tcPr>
          <w:p w14:paraId="507B0D76" w14:textId="77777777" w:rsidR="00D25E78" w:rsidRPr="00F662E5" w:rsidRDefault="00000000">
            <w:pPr>
              <w:rPr>
                <w:sz w:val="22"/>
                <w:szCs w:val="22"/>
              </w:rPr>
            </w:pPr>
            <w:r w:rsidRPr="00F662E5">
              <w:rPr>
                <w:rFonts w:ascii="Calibri" w:eastAsia="Calibri" w:hAnsi="Calibri" w:cs="Calibri"/>
                <w:color w:val="000000"/>
                <w:sz w:val="22"/>
                <w:szCs w:val="22"/>
              </w:rPr>
              <w:t>26,750</w:t>
            </w:r>
          </w:p>
        </w:tc>
        <w:tc>
          <w:tcPr>
            <w:tcW w:w="3000" w:type="dxa"/>
            <w:tcMar>
              <w:top w:w="60" w:type="dxa"/>
              <w:left w:w="100" w:type="dxa"/>
              <w:bottom w:w="60" w:type="dxa"/>
              <w:right w:w="100" w:type="dxa"/>
            </w:tcMar>
          </w:tcPr>
          <w:p w14:paraId="1BC04C20" w14:textId="77777777" w:rsidR="00D25E78" w:rsidRPr="00F662E5" w:rsidRDefault="00000000">
            <w:pPr>
              <w:rPr>
                <w:sz w:val="22"/>
                <w:szCs w:val="22"/>
              </w:rPr>
            </w:pPr>
            <w:r w:rsidRPr="00F662E5">
              <w:rPr>
                <w:rFonts w:ascii="Calibri" w:eastAsia="Calibri" w:hAnsi="Calibri" w:cs="Calibri"/>
                <w:color w:val="000000"/>
                <w:sz w:val="22"/>
                <w:szCs w:val="22"/>
              </w:rPr>
              <w:t>29,474 (+10.2%)</w:t>
            </w:r>
          </w:p>
        </w:tc>
      </w:tr>
      <w:tr w:rsidR="00D25E78" w:rsidRPr="00F662E5" w14:paraId="2C28E971" w14:textId="77777777">
        <w:tblPrEx>
          <w:tblCellMar>
            <w:top w:w="0" w:type="dxa"/>
            <w:bottom w:w="0" w:type="dxa"/>
          </w:tblCellMar>
        </w:tblPrEx>
        <w:tc>
          <w:tcPr>
            <w:tcW w:w="3350" w:type="dxa"/>
            <w:tcMar>
              <w:top w:w="60" w:type="dxa"/>
              <w:left w:w="100" w:type="dxa"/>
              <w:bottom w:w="60" w:type="dxa"/>
              <w:right w:w="100" w:type="dxa"/>
            </w:tcMar>
          </w:tcPr>
          <w:p w14:paraId="7F9143C9" w14:textId="77777777" w:rsidR="00D25E78" w:rsidRPr="00F662E5" w:rsidRDefault="00000000">
            <w:pPr>
              <w:rPr>
                <w:sz w:val="22"/>
                <w:szCs w:val="22"/>
              </w:rPr>
            </w:pPr>
            <w:r w:rsidRPr="00F662E5">
              <w:rPr>
                <w:rFonts w:ascii="Calibri" w:eastAsia="Calibri" w:hAnsi="Calibri" w:cs="Calibri"/>
                <w:color w:val="000000"/>
                <w:sz w:val="22"/>
                <w:szCs w:val="22"/>
              </w:rPr>
              <w:t>Basic EPS (Rs)</w:t>
            </w:r>
          </w:p>
        </w:tc>
        <w:tc>
          <w:tcPr>
            <w:tcW w:w="3000" w:type="dxa"/>
            <w:tcMar>
              <w:top w:w="60" w:type="dxa"/>
              <w:left w:w="100" w:type="dxa"/>
              <w:bottom w:w="60" w:type="dxa"/>
              <w:right w:w="100" w:type="dxa"/>
            </w:tcMar>
          </w:tcPr>
          <w:p w14:paraId="02E27853" w14:textId="77777777" w:rsidR="00D25E78" w:rsidRPr="00F662E5" w:rsidRDefault="00000000">
            <w:pPr>
              <w:rPr>
                <w:sz w:val="22"/>
                <w:szCs w:val="22"/>
              </w:rPr>
            </w:pPr>
            <w:r w:rsidRPr="00F662E5">
              <w:rPr>
                <w:rFonts w:ascii="Calibri" w:eastAsia="Calibri" w:hAnsi="Calibri" w:cs="Calibri"/>
                <w:color w:val="000000"/>
                <w:sz w:val="22"/>
                <w:szCs w:val="22"/>
              </w:rPr>
              <w:t>64.50</w:t>
            </w:r>
          </w:p>
        </w:tc>
        <w:tc>
          <w:tcPr>
            <w:tcW w:w="3000" w:type="dxa"/>
            <w:tcMar>
              <w:top w:w="60" w:type="dxa"/>
              <w:left w:w="100" w:type="dxa"/>
              <w:bottom w:w="60" w:type="dxa"/>
              <w:right w:w="100" w:type="dxa"/>
            </w:tcMar>
          </w:tcPr>
          <w:p w14:paraId="452EB6D5" w14:textId="77777777" w:rsidR="00D25E78" w:rsidRPr="00F662E5" w:rsidRDefault="00000000">
            <w:pPr>
              <w:rPr>
                <w:sz w:val="22"/>
                <w:szCs w:val="22"/>
              </w:rPr>
            </w:pPr>
            <w:r w:rsidRPr="00F662E5">
              <w:rPr>
                <w:rFonts w:ascii="Calibri" w:eastAsia="Calibri" w:hAnsi="Calibri" w:cs="Calibri"/>
                <w:color w:val="000000"/>
                <w:sz w:val="22"/>
                <w:szCs w:val="22"/>
              </w:rPr>
              <w:t>71.58 (+11.0%)</w:t>
            </w:r>
          </w:p>
        </w:tc>
      </w:tr>
    </w:tbl>
    <w:p w14:paraId="38905949" w14:textId="77777777" w:rsidR="00D25E78" w:rsidRPr="00F662E5" w:rsidRDefault="00000000">
      <w:pPr>
        <w:spacing w:after="100"/>
        <w:rPr>
          <w:sz w:val="22"/>
          <w:szCs w:val="22"/>
        </w:rPr>
      </w:pPr>
      <w:r w:rsidRPr="00F662E5">
        <w:rPr>
          <w:rFonts w:ascii="Calibri" w:eastAsia="Calibri" w:hAnsi="Calibri" w:cs="Calibri"/>
          <w:color w:val="000000"/>
          <w:sz w:val="22"/>
          <w:szCs w:val="22"/>
        </w:rPr>
        <w:t>Source: Infosys FY26 audited financial results and three-year P&amp;L overview (infosys.com/investors).</w:t>
      </w:r>
    </w:p>
    <w:p w14:paraId="14BE1911" w14:textId="77777777" w:rsidR="00D25E78" w:rsidRPr="00F662E5" w:rsidRDefault="00000000">
      <w:pPr>
        <w:spacing w:before="180" w:after="80"/>
        <w:rPr>
          <w:sz w:val="22"/>
          <w:szCs w:val="22"/>
        </w:rPr>
      </w:pPr>
      <w:r w:rsidRPr="00F662E5">
        <w:rPr>
          <w:rFonts w:ascii="Calibri" w:eastAsia="Calibri" w:hAnsi="Calibri" w:cs="Calibri"/>
          <w:b/>
          <w:bCs/>
          <w:color w:val="000000"/>
          <w:sz w:val="22"/>
          <w:szCs w:val="22"/>
        </w:rPr>
        <w:t>3. Balance Sheet &amp; Cash Flow - Key Highlights</w:t>
      </w:r>
    </w:p>
    <w:p w14:paraId="5BD468F5"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Asset-light model: </w:t>
      </w:r>
      <w:r w:rsidRPr="00F662E5">
        <w:rPr>
          <w:rFonts w:ascii="Calibri" w:eastAsia="Calibri" w:hAnsi="Calibri" w:cs="Calibri"/>
          <w:color w:val="000000"/>
          <w:sz w:val="22"/>
          <w:szCs w:val="22"/>
        </w:rPr>
        <w:t>As an IT services company, Infosys carries relatively low fixed assets; most value lies in receivables, cash/investments and human capital.</w:t>
      </w:r>
    </w:p>
    <w:p w14:paraId="7ECB594A"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Low leverage: </w:t>
      </w:r>
      <w:r w:rsidRPr="00F662E5">
        <w:rPr>
          <w:rFonts w:ascii="Calibri" w:eastAsia="Calibri" w:hAnsi="Calibri" w:cs="Calibri"/>
          <w:color w:val="000000"/>
          <w:sz w:val="22"/>
          <w:szCs w:val="22"/>
        </w:rPr>
        <w:t>Debt-to-Equity is very low (~0.10), meaning the company is funded mainly by shareholder equity rather than borrowed capital.</w:t>
      </w:r>
    </w:p>
    <w:p w14:paraId="5A2D675D"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Strong liquidity: </w:t>
      </w:r>
      <w:r w:rsidRPr="00F662E5">
        <w:rPr>
          <w:rFonts w:ascii="Calibri" w:eastAsia="Calibri" w:hAnsi="Calibri" w:cs="Calibri"/>
          <w:color w:val="000000"/>
          <w:sz w:val="22"/>
          <w:szCs w:val="22"/>
        </w:rPr>
        <w:t>Consistently high free cash flow generation (over 100% of net profit in several recent quarters) supports its high dividend payouts and share buybacks.</w:t>
      </w:r>
    </w:p>
    <w:p w14:paraId="1AE341D0"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Book value: </w:t>
      </w:r>
      <w:r w:rsidRPr="00F662E5">
        <w:rPr>
          <w:rFonts w:ascii="Calibri" w:eastAsia="Calibri" w:hAnsi="Calibri" w:cs="Calibri"/>
          <w:color w:val="000000"/>
          <w:sz w:val="22"/>
          <w:szCs w:val="22"/>
        </w:rPr>
        <w:t>Book value per share of roughly Rs 194-225, well below the market price - explaining a P/B ratio above 4x.</w:t>
      </w:r>
    </w:p>
    <w:p w14:paraId="1B60990A" w14:textId="77777777" w:rsidR="00D25E78" w:rsidRPr="00F662E5" w:rsidRDefault="00000000">
      <w:pPr>
        <w:spacing w:before="180" w:after="80"/>
        <w:rPr>
          <w:sz w:val="22"/>
          <w:szCs w:val="22"/>
        </w:rPr>
      </w:pPr>
      <w:r w:rsidRPr="00F662E5">
        <w:rPr>
          <w:rFonts w:ascii="Calibri" w:eastAsia="Calibri" w:hAnsi="Calibri" w:cs="Calibri"/>
          <w:b/>
          <w:bCs/>
          <w:color w:val="000000"/>
          <w:sz w:val="22"/>
          <w:szCs w:val="22"/>
        </w:rPr>
        <w:t>4. Ratio Analysis &amp; Interpretation</w:t>
      </w:r>
    </w:p>
    <w:p w14:paraId="63DBCB41"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P/E of ~13.8x: </w:t>
      </w:r>
      <w:r w:rsidRPr="00F662E5">
        <w:rPr>
          <w:rFonts w:ascii="Calibri" w:eastAsia="Calibri" w:hAnsi="Calibri" w:cs="Calibri"/>
          <w:color w:val="000000"/>
          <w:sz w:val="22"/>
          <w:szCs w:val="22"/>
        </w:rPr>
        <w:t xml:space="preserve">Trading below its own </w:t>
      </w:r>
      <w:proofErr w:type="gramStart"/>
      <w:r w:rsidRPr="00F662E5">
        <w:rPr>
          <w:rFonts w:ascii="Calibri" w:eastAsia="Calibri" w:hAnsi="Calibri" w:cs="Calibri"/>
          <w:color w:val="000000"/>
          <w:sz w:val="22"/>
          <w:szCs w:val="22"/>
        </w:rPr>
        <w:t>3-5 year</w:t>
      </w:r>
      <w:proofErr w:type="gramEnd"/>
      <w:r w:rsidRPr="00F662E5">
        <w:rPr>
          <w:rFonts w:ascii="Calibri" w:eastAsia="Calibri" w:hAnsi="Calibri" w:cs="Calibri"/>
          <w:color w:val="000000"/>
          <w:sz w:val="22"/>
          <w:szCs w:val="22"/>
        </w:rPr>
        <w:t xml:space="preserve"> historical average (~24x-25x), suggesting the market is currently pricing in more caution than in prior years, despite steady double-digit profit growth.</w:t>
      </w:r>
    </w:p>
    <w:p w14:paraId="0211666B"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ROE of ~32%-35%: </w:t>
      </w:r>
      <w:r w:rsidRPr="00F662E5">
        <w:rPr>
          <w:rFonts w:ascii="Calibri" w:eastAsia="Calibri" w:hAnsi="Calibri" w:cs="Calibri"/>
          <w:color w:val="000000"/>
          <w:sz w:val="22"/>
          <w:szCs w:val="22"/>
        </w:rPr>
        <w:t>Well above the cost of equity for an Indian large-cap, indicating efficient use of shareholder funds to generate profit.</w:t>
      </w:r>
    </w:p>
    <w:p w14:paraId="7092B643"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t xml:space="preserve">Net Profit Margin: </w:t>
      </w:r>
      <w:r w:rsidRPr="00F662E5">
        <w:rPr>
          <w:rFonts w:ascii="Calibri" w:eastAsia="Calibri" w:hAnsi="Calibri" w:cs="Calibri"/>
          <w:color w:val="000000"/>
          <w:sz w:val="22"/>
          <w:szCs w:val="22"/>
        </w:rPr>
        <w:t>Around 16.5% in FY2026 (Net Profit / Revenue), consistent with a mature, high-margin IT services business.</w:t>
      </w:r>
    </w:p>
    <w:p w14:paraId="47672CAA" w14:textId="77777777" w:rsidR="00D25E78" w:rsidRPr="00F662E5" w:rsidRDefault="00000000">
      <w:pPr>
        <w:pStyle w:val="ListParagraph"/>
        <w:numPr>
          <w:ilvl w:val="0"/>
          <w:numId w:val="2"/>
        </w:numPr>
        <w:spacing w:after="60"/>
        <w:rPr>
          <w:sz w:val="22"/>
          <w:szCs w:val="22"/>
        </w:rPr>
      </w:pPr>
      <w:r w:rsidRPr="00F662E5">
        <w:rPr>
          <w:rFonts w:ascii="Calibri" w:eastAsia="Calibri" w:hAnsi="Calibri" w:cs="Calibri"/>
          <w:b/>
          <w:bCs/>
          <w:color w:val="000000"/>
          <w:sz w:val="22"/>
          <w:szCs w:val="22"/>
        </w:rPr>
        <w:lastRenderedPageBreak/>
        <w:t xml:space="preserve">Dividend Yield of ~4.6%: </w:t>
      </w:r>
      <w:r w:rsidRPr="00F662E5">
        <w:rPr>
          <w:rFonts w:ascii="Calibri" w:eastAsia="Calibri" w:hAnsi="Calibri" w:cs="Calibri"/>
          <w:color w:val="000000"/>
          <w:sz w:val="22"/>
          <w:szCs w:val="22"/>
        </w:rPr>
        <w:t>High relative to IT-sector peers, reflecting Infosys's policy of returning a large share of free cash flow to shareholders.</w:t>
      </w:r>
    </w:p>
    <w:p w14:paraId="5C295E22" w14:textId="77777777" w:rsidR="00D25E78" w:rsidRPr="00F662E5" w:rsidRDefault="00000000">
      <w:pPr>
        <w:spacing w:before="180" w:after="80"/>
        <w:rPr>
          <w:sz w:val="22"/>
          <w:szCs w:val="22"/>
        </w:rPr>
      </w:pPr>
      <w:r w:rsidRPr="00F662E5">
        <w:rPr>
          <w:rFonts w:ascii="Calibri" w:eastAsia="Calibri" w:hAnsi="Calibri" w:cs="Calibri"/>
          <w:b/>
          <w:bCs/>
          <w:color w:val="000000"/>
          <w:sz w:val="22"/>
          <w:szCs w:val="22"/>
        </w:rPr>
        <w:t>5. Conclusion</w:t>
      </w:r>
    </w:p>
    <w:p w14:paraId="3A0D192A" w14:textId="77777777" w:rsidR="00D25E78" w:rsidRPr="00F662E5" w:rsidRDefault="00000000">
      <w:pPr>
        <w:spacing w:after="100"/>
        <w:rPr>
          <w:sz w:val="22"/>
          <w:szCs w:val="22"/>
        </w:rPr>
      </w:pPr>
      <w:r w:rsidRPr="00F662E5">
        <w:rPr>
          <w:rFonts w:ascii="Calibri" w:eastAsia="Calibri" w:hAnsi="Calibri" w:cs="Calibri"/>
          <w:color w:val="000000"/>
          <w:sz w:val="22"/>
          <w:szCs w:val="22"/>
        </w:rPr>
        <w:t>Infosys shows steady, double-digit revenue and profit growth (FY2025 to FY2026), strong return ratios (ROE above 30%), low leverage and healthy free cash flow generation. Its current P/E is below its own historical average, which - combined with a high dividend yield - reflects a stable, cash-generative large-cap positioned conservatively relative to its own trading history. This analysis is for academic and domain-learning purposes only and should not be treated as investment advice.</w:t>
      </w:r>
    </w:p>
    <w:p w14:paraId="238B3FCB" w14:textId="77777777" w:rsidR="00D25E78" w:rsidRDefault="00000000">
      <w:pPr>
        <w:spacing w:after="100"/>
      </w:pPr>
      <w:r>
        <w:rPr>
          <w:rFonts w:ascii="Calibri" w:eastAsia="Calibri" w:hAnsi="Calibri" w:cs="Calibri"/>
          <w:color w:val="000000"/>
        </w:rPr>
        <w:t xml:space="preserve"> </w:t>
      </w:r>
    </w:p>
    <w:p w14:paraId="301B18ED" w14:textId="77777777" w:rsidR="00D25E78" w:rsidRDefault="00000000">
      <w:pPr>
        <w:spacing w:after="100"/>
      </w:pPr>
      <w:r>
        <w:rPr>
          <w:rFonts w:ascii="Calibri" w:eastAsia="Calibri" w:hAnsi="Calibri" w:cs="Calibri"/>
          <w:i/>
          <w:iCs/>
          <w:color w:val="000000"/>
          <w:sz w:val="16"/>
          <w:szCs w:val="16"/>
        </w:rPr>
        <w:t xml:space="preserve">Sources: Infosys Ltd investor relations (infosys.com/investors), Infosys FY2025-26 audited consolidated financial statements, Screener.in, </w:t>
      </w:r>
      <w:proofErr w:type="spellStart"/>
      <w:r>
        <w:rPr>
          <w:rFonts w:ascii="Calibri" w:eastAsia="Calibri" w:hAnsi="Calibri" w:cs="Calibri"/>
          <w:i/>
          <w:iCs/>
          <w:color w:val="000000"/>
          <w:sz w:val="16"/>
          <w:szCs w:val="16"/>
        </w:rPr>
        <w:t>Groww</w:t>
      </w:r>
      <w:proofErr w:type="spellEnd"/>
      <w:r>
        <w:rPr>
          <w:rFonts w:ascii="Calibri" w:eastAsia="Calibri" w:hAnsi="Calibri" w:cs="Calibri"/>
          <w:i/>
          <w:iCs/>
          <w:color w:val="000000"/>
          <w:sz w:val="16"/>
          <w:szCs w:val="16"/>
        </w:rPr>
        <w:t>, Bajaj Broking (market data as of 11 Sep 2026).</w:t>
      </w:r>
    </w:p>
    <w:sectPr w:rsidR="00D25E78" w:rsidSect="00F662E5">
      <w:pgSz w:w="12240" w:h="15840"/>
      <w:pgMar w:top="900" w:right="1000" w:bottom="900" w:left="10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0E4"/>
    <w:multiLevelType w:val="hybridMultilevel"/>
    <w:tmpl w:val="0B38DC3A"/>
    <w:lvl w:ilvl="0" w:tplc="46B4E6D2">
      <w:start w:val="1"/>
      <w:numFmt w:val="bullet"/>
      <w:lvlText w:val="●"/>
      <w:lvlJc w:val="left"/>
      <w:pPr>
        <w:ind w:left="720" w:hanging="360"/>
      </w:pPr>
    </w:lvl>
    <w:lvl w:ilvl="1" w:tplc="A19E91E0">
      <w:start w:val="1"/>
      <w:numFmt w:val="bullet"/>
      <w:lvlText w:val="○"/>
      <w:lvlJc w:val="left"/>
      <w:pPr>
        <w:ind w:left="1440" w:hanging="360"/>
      </w:pPr>
    </w:lvl>
    <w:lvl w:ilvl="2" w:tplc="BA024F00">
      <w:start w:val="1"/>
      <w:numFmt w:val="bullet"/>
      <w:lvlText w:val="■"/>
      <w:lvlJc w:val="left"/>
      <w:pPr>
        <w:ind w:left="2160" w:hanging="360"/>
      </w:pPr>
    </w:lvl>
    <w:lvl w:ilvl="3" w:tplc="14E620F2">
      <w:start w:val="1"/>
      <w:numFmt w:val="bullet"/>
      <w:lvlText w:val="●"/>
      <w:lvlJc w:val="left"/>
      <w:pPr>
        <w:ind w:left="2880" w:hanging="360"/>
      </w:pPr>
    </w:lvl>
    <w:lvl w:ilvl="4" w:tplc="664AA3A8">
      <w:start w:val="1"/>
      <w:numFmt w:val="bullet"/>
      <w:lvlText w:val="○"/>
      <w:lvlJc w:val="left"/>
      <w:pPr>
        <w:ind w:left="3600" w:hanging="360"/>
      </w:pPr>
    </w:lvl>
    <w:lvl w:ilvl="5" w:tplc="F702B5E4">
      <w:start w:val="1"/>
      <w:numFmt w:val="bullet"/>
      <w:lvlText w:val="■"/>
      <w:lvlJc w:val="left"/>
      <w:pPr>
        <w:ind w:left="4320" w:hanging="360"/>
      </w:pPr>
    </w:lvl>
    <w:lvl w:ilvl="6" w:tplc="7A822B90">
      <w:start w:val="1"/>
      <w:numFmt w:val="bullet"/>
      <w:lvlText w:val="●"/>
      <w:lvlJc w:val="left"/>
      <w:pPr>
        <w:ind w:left="5040" w:hanging="360"/>
      </w:pPr>
    </w:lvl>
    <w:lvl w:ilvl="7" w:tplc="AC5E3042">
      <w:start w:val="1"/>
      <w:numFmt w:val="bullet"/>
      <w:lvlText w:val="●"/>
      <w:lvlJc w:val="left"/>
      <w:pPr>
        <w:ind w:left="5760" w:hanging="360"/>
      </w:pPr>
    </w:lvl>
    <w:lvl w:ilvl="8" w:tplc="C318F4CC">
      <w:start w:val="1"/>
      <w:numFmt w:val="bullet"/>
      <w:lvlText w:val="●"/>
      <w:lvlJc w:val="left"/>
      <w:pPr>
        <w:ind w:left="6480" w:hanging="360"/>
      </w:pPr>
    </w:lvl>
  </w:abstractNum>
  <w:abstractNum w:abstractNumId="1" w15:restartNumberingAfterBreak="0">
    <w:nsid w:val="49A44CED"/>
    <w:multiLevelType w:val="hybridMultilevel"/>
    <w:tmpl w:val="D8328B60"/>
    <w:lvl w:ilvl="0" w:tplc="8D0A2F06">
      <w:start w:val="1"/>
      <w:numFmt w:val="bullet"/>
      <w:lvlText w:val="•"/>
      <w:lvlJc w:val="left"/>
      <w:pPr>
        <w:ind w:left="360" w:hanging="260"/>
      </w:pPr>
    </w:lvl>
    <w:lvl w:ilvl="1" w:tplc="70B409BC">
      <w:numFmt w:val="decimal"/>
      <w:lvlText w:val=""/>
      <w:lvlJc w:val="left"/>
    </w:lvl>
    <w:lvl w:ilvl="2" w:tplc="EE90D47C">
      <w:numFmt w:val="decimal"/>
      <w:lvlText w:val=""/>
      <w:lvlJc w:val="left"/>
    </w:lvl>
    <w:lvl w:ilvl="3" w:tplc="50D6A6FE">
      <w:numFmt w:val="decimal"/>
      <w:lvlText w:val=""/>
      <w:lvlJc w:val="left"/>
    </w:lvl>
    <w:lvl w:ilvl="4" w:tplc="F8DE25F0">
      <w:numFmt w:val="decimal"/>
      <w:lvlText w:val=""/>
      <w:lvlJc w:val="left"/>
    </w:lvl>
    <w:lvl w:ilvl="5" w:tplc="CA524170">
      <w:numFmt w:val="decimal"/>
      <w:lvlText w:val=""/>
      <w:lvlJc w:val="left"/>
    </w:lvl>
    <w:lvl w:ilvl="6" w:tplc="FBF80DE4">
      <w:numFmt w:val="decimal"/>
      <w:lvlText w:val=""/>
      <w:lvlJc w:val="left"/>
    </w:lvl>
    <w:lvl w:ilvl="7" w:tplc="2FC03794">
      <w:numFmt w:val="decimal"/>
      <w:lvlText w:val=""/>
      <w:lvlJc w:val="left"/>
    </w:lvl>
    <w:lvl w:ilvl="8" w:tplc="AAF2820A">
      <w:numFmt w:val="decimal"/>
      <w:lvlText w:val=""/>
      <w:lvlJc w:val="left"/>
    </w:lvl>
  </w:abstractNum>
  <w:num w:numId="1" w16cid:durableId="436756941">
    <w:abstractNumId w:val="0"/>
    <w:lvlOverride w:ilvl="0">
      <w:startOverride w:val="1"/>
    </w:lvlOverride>
  </w:num>
  <w:num w:numId="2" w16cid:durableId="525856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78"/>
    <w:rsid w:val="00BC44E5"/>
    <w:rsid w:val="00D25E78"/>
    <w:rsid w:val="00F66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0FE9E"/>
  <w15:docId w15:val="{C54AF0B3-488C-4171-B60A-277952969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933</Words>
  <Characters>5323</Characters>
  <Application>Microsoft Office Word</Application>
  <DocSecurity>0</DocSecurity>
  <Lines>44</Lines>
  <Paragraphs>12</Paragraphs>
  <ScaleCrop>false</ScaleCrop>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Sambhavya Nayak</cp:lastModifiedBy>
  <cp:revision>3</cp:revision>
  <dcterms:created xsi:type="dcterms:W3CDTF">2026-09-11T20:01:00Z</dcterms:created>
  <dcterms:modified xsi:type="dcterms:W3CDTF">2026-09-11T20:14:00Z</dcterms:modified>
</cp:coreProperties>
</file>