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CF2F" w14:textId="6A3E42D2" w:rsidR="001F390F" w:rsidRPr="00323BF5" w:rsidRDefault="005D29E1">
      <w:pPr>
        <w:rPr>
          <w:rFonts w:ascii="Verdana" w:hAnsi="Verdana"/>
          <w:b/>
          <w:bCs/>
          <w:sz w:val="28"/>
          <w:szCs w:val="28"/>
        </w:rPr>
      </w:pPr>
      <w:proofErr w:type="spellStart"/>
      <w:r>
        <w:rPr>
          <w:rFonts w:ascii="Verdana" w:hAnsi="Verdana"/>
          <w:b/>
          <w:bCs/>
          <w:sz w:val="28"/>
          <w:szCs w:val="28"/>
        </w:rPr>
        <w:t>Syakaar</w:t>
      </w:r>
      <w:proofErr w:type="spellEnd"/>
      <w:r w:rsidR="00260533" w:rsidRPr="00323BF5">
        <w:rPr>
          <w:rFonts w:ascii="Verdana" w:hAnsi="Verdana"/>
          <w:b/>
          <w:bCs/>
          <w:sz w:val="28"/>
          <w:szCs w:val="28"/>
        </w:rPr>
        <w:t xml:space="preserve"> Posted Sales Shipment Task</w:t>
      </w:r>
    </w:p>
    <w:p w14:paraId="055A8D3D" w14:textId="7591C21D" w:rsidR="00260533" w:rsidRPr="00323BF5" w:rsidRDefault="00260533">
      <w:p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Create three Boolean fields in Sales Shipment Header</w:t>
      </w:r>
    </w:p>
    <w:p w14:paraId="5C5AE6A2" w14:textId="3418FE6C" w:rsidR="00260533" w:rsidRPr="00CC5C08" w:rsidRDefault="00260533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Is Battery</w:t>
      </w:r>
    </w:p>
    <w:p w14:paraId="22594F18" w14:textId="055F2130" w:rsidR="00260533" w:rsidRPr="00323BF5" w:rsidRDefault="00260533" w:rsidP="00260533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‘Make Code’ in a table Sales Shipment Line is ‘BATTERY’ then this Boolean needs to be yes. Otherwise, no.</w:t>
      </w:r>
    </w:p>
    <w:p w14:paraId="0598BB8A" w14:textId="5B360DCC" w:rsidR="00260533" w:rsidRPr="00CC5C08" w:rsidRDefault="00300D56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Ship Cancel</w:t>
      </w:r>
    </w:p>
    <w:p w14:paraId="27D062B0" w14:textId="38D33786" w:rsidR="00300D56" w:rsidRPr="00323BF5" w:rsidRDefault="00300D56" w:rsidP="00300D56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‘Correction’(Boolean) is ‘</w:t>
      </w:r>
      <w:r w:rsidR="0012159E" w:rsidRPr="00323BF5">
        <w:rPr>
          <w:rFonts w:ascii="Verdana" w:hAnsi="Verdana"/>
          <w:sz w:val="18"/>
          <w:szCs w:val="18"/>
        </w:rPr>
        <w:t>yes’,</w:t>
      </w:r>
      <w:r w:rsidRPr="00323BF5">
        <w:rPr>
          <w:rFonts w:ascii="Verdana" w:hAnsi="Verdana"/>
          <w:sz w:val="18"/>
          <w:szCs w:val="18"/>
        </w:rPr>
        <w:t xml:space="preserve"> then this Boolean also needs to be ‘yes’.</w:t>
      </w:r>
    </w:p>
    <w:p w14:paraId="2469CC6F" w14:textId="443BE8B8" w:rsidR="00300D56" w:rsidRPr="00CC5C08" w:rsidRDefault="00300D56" w:rsidP="00300D5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Sales Return</w:t>
      </w:r>
    </w:p>
    <w:p w14:paraId="74FCC1E6" w14:textId="56A30E96" w:rsidR="00300D56" w:rsidRDefault="00836593" w:rsidP="00300D56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 xml:space="preserve">When an item is posted from sales order and is sent to Posted Sales Shipment and Posted Sales Invoice, a record in Sales Credit Memo will also be posted. If we post that record from Sales Credit Memo, then it is to be returned, so this Boolean </w:t>
      </w:r>
      <w:r w:rsidR="00323BF5" w:rsidRPr="00323BF5">
        <w:rPr>
          <w:rFonts w:ascii="Verdana" w:hAnsi="Verdana"/>
          <w:sz w:val="18"/>
          <w:szCs w:val="18"/>
        </w:rPr>
        <w:t>must</w:t>
      </w:r>
      <w:r w:rsidRPr="00323BF5">
        <w:rPr>
          <w:rFonts w:ascii="Verdana" w:hAnsi="Verdana"/>
          <w:sz w:val="18"/>
          <w:szCs w:val="18"/>
        </w:rPr>
        <w:t xml:space="preserve"> be ‘yes’.</w:t>
      </w:r>
    </w:p>
    <w:p w14:paraId="292A2167" w14:textId="77777777" w:rsidR="00D109CF" w:rsidRDefault="00D109CF" w:rsidP="00D109CF">
      <w:pPr>
        <w:rPr>
          <w:rFonts w:ascii="Verdana" w:hAnsi="Verdana"/>
          <w:sz w:val="18"/>
          <w:szCs w:val="18"/>
        </w:rPr>
      </w:pPr>
    </w:p>
    <w:p w14:paraId="14399890" w14:textId="2887E70F" w:rsidR="00D109CF" w:rsidRDefault="00D109CF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Solution</w:t>
      </w:r>
    </w:p>
    <w:p w14:paraId="2B341AF4" w14:textId="072B1EE3" w:rsidR="007876FA" w:rsidRDefault="007876FA" w:rsidP="007876FA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Is Battery</w:t>
      </w:r>
    </w:p>
    <w:p w14:paraId="43764B29" w14:textId="657B5077" w:rsidR="007876FA" w:rsidRPr="007876FA" w:rsidRDefault="007876FA" w:rsidP="00167DD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Put the following in the properties of this field.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2006C8" w14:paraId="1FDEC3BB" w14:textId="77777777" w:rsidTr="002006C8">
        <w:tc>
          <w:tcPr>
            <w:tcW w:w="1584" w:type="dxa"/>
          </w:tcPr>
          <w:p w14:paraId="5B79CD5D" w14:textId="1C22E4DF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6AC843D2" w14:textId="57BFFE31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2006C8" w14:paraId="4B3B5D02" w14:textId="77777777" w:rsidTr="002006C8">
        <w:tc>
          <w:tcPr>
            <w:tcW w:w="1584" w:type="dxa"/>
          </w:tcPr>
          <w:p w14:paraId="40079AE6" w14:textId="5AF07D6A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ECE4BB5" w14:textId="6983ADD3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Exist(“Sales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CONST(BATTERY)))</w:t>
            </w:r>
          </w:p>
        </w:tc>
      </w:tr>
    </w:tbl>
    <w:p w14:paraId="2E052281" w14:textId="76DFF926" w:rsidR="00D109CF" w:rsidRDefault="00C822E3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 not forget to change the properties of this field from the table’s page</w:t>
      </w:r>
      <w:r w:rsidR="000F7360">
        <w:rPr>
          <w:rFonts w:ascii="Verdana" w:hAnsi="Verdana"/>
          <w:sz w:val="18"/>
          <w:szCs w:val="18"/>
        </w:rPr>
        <w:t xml:space="preserve"> where Drilldown </w:t>
      </w:r>
      <w:r w:rsidR="008F01FF">
        <w:rPr>
          <w:rFonts w:ascii="Verdana" w:hAnsi="Verdana"/>
          <w:sz w:val="18"/>
          <w:szCs w:val="18"/>
        </w:rPr>
        <w:t>must</w:t>
      </w:r>
      <w:r w:rsidR="000F7360">
        <w:rPr>
          <w:rFonts w:ascii="Verdana" w:hAnsi="Verdana"/>
          <w:sz w:val="18"/>
          <w:szCs w:val="18"/>
        </w:rPr>
        <w:t xml:space="preserve"> be ‘No’</w:t>
      </w:r>
      <w:r>
        <w:rPr>
          <w:rFonts w:ascii="Verdana" w:hAnsi="Verdana"/>
          <w:sz w:val="18"/>
          <w:szCs w:val="18"/>
        </w:rPr>
        <w:t>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0F7360" w14:paraId="6B1E5BAD" w14:textId="77777777" w:rsidTr="000F7360">
        <w:tc>
          <w:tcPr>
            <w:tcW w:w="1584" w:type="dxa"/>
          </w:tcPr>
          <w:p w14:paraId="05F4E4F6" w14:textId="06BE27C6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1F005735" w14:textId="07F52903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5F7DBDB8" w14:textId="77777777" w:rsidR="00C822E3" w:rsidRDefault="00C822E3" w:rsidP="00D109CF">
      <w:pPr>
        <w:rPr>
          <w:rFonts w:ascii="Verdana" w:hAnsi="Verdana"/>
          <w:sz w:val="18"/>
          <w:szCs w:val="18"/>
        </w:rPr>
      </w:pPr>
    </w:p>
    <w:p w14:paraId="115259D8" w14:textId="60A839B6" w:rsidR="00FF0462" w:rsidRDefault="00FF0462" w:rsidP="00FF0462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Ship Cancel</w:t>
      </w:r>
    </w:p>
    <w:p w14:paraId="0E35F25D" w14:textId="5AC9A595" w:rsidR="00FF0462" w:rsidRDefault="00FF0462" w:rsidP="00FF0462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Similary</w:t>
      </w:r>
      <w:proofErr w:type="spellEnd"/>
      <w:r>
        <w:rPr>
          <w:rFonts w:ascii="Verdana" w:hAnsi="Verdana"/>
          <w:sz w:val="18"/>
          <w:szCs w:val="18"/>
        </w:rPr>
        <w:t>, we can do this for ‘Ship Cancel’ Boolean as well.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FF1A2A" w14:paraId="3ABD7874" w14:textId="77777777" w:rsidTr="00FF1A2A">
        <w:tc>
          <w:tcPr>
            <w:tcW w:w="1584" w:type="dxa"/>
          </w:tcPr>
          <w:p w14:paraId="5E92C1A9" w14:textId="1AA12AED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3F1C4630" w14:textId="2AC99E4A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FF1A2A" w14:paraId="27DD9FC2" w14:textId="77777777" w:rsidTr="00FF1A2A">
        <w:tc>
          <w:tcPr>
            <w:tcW w:w="1584" w:type="dxa"/>
          </w:tcPr>
          <w:p w14:paraId="11C2CBE4" w14:textId="5EA78AB6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914A3D2" w14:textId="2878138E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Exist(“Sales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CONST(Yes)))</w:t>
            </w:r>
          </w:p>
        </w:tc>
      </w:tr>
    </w:tbl>
    <w:p w14:paraId="3C77783C" w14:textId="1FC2E4A5" w:rsidR="00725481" w:rsidRDefault="00725481" w:rsidP="0072548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 not forget to change the properties of this field from the table’s page where Drilldown </w:t>
      </w:r>
      <w:r w:rsidR="008F01FF">
        <w:rPr>
          <w:rFonts w:ascii="Verdana" w:hAnsi="Verdana"/>
          <w:sz w:val="18"/>
          <w:szCs w:val="18"/>
        </w:rPr>
        <w:t>must</w:t>
      </w:r>
      <w:r>
        <w:rPr>
          <w:rFonts w:ascii="Verdana" w:hAnsi="Verdana"/>
          <w:sz w:val="18"/>
          <w:szCs w:val="18"/>
        </w:rPr>
        <w:t xml:space="preserve"> be ‘No’.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725481" w14:paraId="56F6F0E0" w14:textId="77777777" w:rsidTr="00904B71">
        <w:tc>
          <w:tcPr>
            <w:tcW w:w="1584" w:type="dxa"/>
          </w:tcPr>
          <w:p w14:paraId="3BE2A0A9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003A485E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3281E694" w14:textId="77777777" w:rsidR="00725481" w:rsidRDefault="00725481" w:rsidP="00FF0462">
      <w:pPr>
        <w:rPr>
          <w:rFonts w:ascii="Verdana" w:hAnsi="Verdana"/>
          <w:sz w:val="18"/>
          <w:szCs w:val="18"/>
        </w:rPr>
      </w:pPr>
    </w:p>
    <w:p w14:paraId="5BCA0317" w14:textId="7EE4E905" w:rsidR="008D1086" w:rsidRDefault="008D1086" w:rsidP="008D1086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Sales Return</w:t>
      </w:r>
    </w:p>
    <w:p w14:paraId="70581910" w14:textId="7347CE3E" w:rsidR="008D1086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the case of this Boolean field, when a record in ‘Sales Credit Memo’ is posted, the record i.e. an item is being returned, so, if the record is posted then this Boolean field must be ‘No’.</w:t>
      </w:r>
    </w:p>
    <w:tbl>
      <w:tblPr>
        <w:tblStyle w:val="TableGrid"/>
        <w:tblpPr w:leftFromText="180" w:rightFromText="180" w:vertAnchor="text" w:horzAnchor="margin" w:tblpXSpec="center" w:tblpY="555"/>
        <w:tblW w:w="0" w:type="auto"/>
        <w:tblLook w:val="04A0" w:firstRow="1" w:lastRow="0" w:firstColumn="1" w:lastColumn="0" w:noHBand="0" w:noVBand="1"/>
      </w:tblPr>
      <w:tblGrid>
        <w:gridCol w:w="6918"/>
      </w:tblGrid>
      <w:tr w:rsidR="00FF60A2" w14:paraId="2BB96167" w14:textId="77777777" w:rsidTr="00FF60A2">
        <w:trPr>
          <w:trHeight w:val="1596"/>
        </w:trPr>
        <w:tc>
          <w:tcPr>
            <w:tcW w:w="6918" w:type="dxa"/>
          </w:tcPr>
          <w:p w14:paraId="6097698E" w14:textId="77777777" w:rsidR="00FF60A2" w:rsidRDefault="00FF60A2" w:rsidP="00FF60A2">
            <w:pPr>
              <w:rPr>
                <w:rFonts w:ascii="Verdana" w:hAnsi="Verdana"/>
                <w:sz w:val="18"/>
                <w:szCs w:val="18"/>
              </w:rPr>
            </w:pPr>
            <w:r w:rsidRPr="00FF60A2"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01DA66B7" wp14:editId="7DAA117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90487</wp:posOffset>
                  </wp:positionV>
                  <wp:extent cx="4233545" cy="826135"/>
                  <wp:effectExtent l="0" t="0" r="0" b="0"/>
                  <wp:wrapTight wrapText="bothSides">
                    <wp:wrapPolygon edited="0">
                      <wp:start x="0" y="0"/>
                      <wp:lineTo x="0" y="20919"/>
                      <wp:lineTo x="21480" y="20919"/>
                      <wp:lineTo x="21480" y="0"/>
                      <wp:lineTo x="0" y="0"/>
                    </wp:wrapPolygon>
                  </wp:wrapTight>
                  <wp:docPr id="3345011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501144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7ABA57" w14:textId="08AA07A6" w:rsidR="008F01FF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First, we go to the page of ‘(id: 9302) Sales Credit Memo’</w:t>
      </w:r>
      <w:r w:rsidR="000C6E11">
        <w:rPr>
          <w:rFonts w:ascii="Verdana" w:hAnsi="Verdana"/>
          <w:sz w:val="18"/>
          <w:szCs w:val="18"/>
        </w:rPr>
        <w:t xml:space="preserve"> and go to the actions tab</w:t>
      </w:r>
      <w:r w:rsidR="00FF60A2">
        <w:rPr>
          <w:rFonts w:ascii="Verdana" w:hAnsi="Verdana"/>
          <w:sz w:val="18"/>
          <w:szCs w:val="18"/>
        </w:rPr>
        <w:t xml:space="preserve"> and on to the post action’s code</w:t>
      </w:r>
      <w:r w:rsidR="000C6E11">
        <w:rPr>
          <w:rFonts w:ascii="Verdana" w:hAnsi="Verdana"/>
          <w:sz w:val="18"/>
          <w:szCs w:val="18"/>
        </w:rPr>
        <w:t>.</w:t>
      </w:r>
    </w:p>
    <w:p w14:paraId="17B582B2" w14:textId="77777777" w:rsidR="00FF60A2" w:rsidRPr="008D1086" w:rsidRDefault="00FF60A2" w:rsidP="008D1086">
      <w:pPr>
        <w:rPr>
          <w:rFonts w:ascii="Verdana" w:hAnsi="Verdan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5988"/>
      </w:tblGrid>
      <w:tr w:rsidR="00FF60A2" w14:paraId="5F6C9DEA" w14:textId="77777777" w:rsidTr="00FF60A2">
        <w:trPr>
          <w:trHeight w:val="2122"/>
        </w:trPr>
        <w:tc>
          <w:tcPr>
            <w:tcW w:w="5988" w:type="dxa"/>
          </w:tcPr>
          <w:p w14:paraId="014C1920" w14:textId="77777777" w:rsidR="00FF60A2" w:rsidRDefault="00FF60A2" w:rsidP="00FF60A2">
            <w:pPr>
              <w:rPr>
                <w:sz w:val="18"/>
                <w:szCs w:val="18"/>
              </w:rPr>
            </w:pPr>
            <w:r w:rsidRPr="00FF60A2">
              <w:rPr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4F30A2D" wp14:editId="0D4A7D00">
                  <wp:simplePos x="0" y="0"/>
                  <wp:positionH relativeFrom="column">
                    <wp:posOffset>25082</wp:posOffset>
                  </wp:positionH>
                  <wp:positionV relativeFrom="paragraph">
                    <wp:posOffset>88900</wp:posOffset>
                  </wp:positionV>
                  <wp:extent cx="3614420" cy="1183640"/>
                  <wp:effectExtent l="0" t="0" r="5080" b="0"/>
                  <wp:wrapTight wrapText="bothSides">
                    <wp:wrapPolygon edited="0">
                      <wp:start x="0" y="0"/>
                      <wp:lineTo x="0" y="21206"/>
                      <wp:lineTo x="21517" y="21206"/>
                      <wp:lineTo x="21517" y="0"/>
                      <wp:lineTo x="0" y="0"/>
                    </wp:wrapPolygon>
                  </wp:wrapTight>
                  <wp:docPr id="177776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6685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8452C6" w14:textId="5B10F389" w:rsidR="00260533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81) Sales-Post (Yes/No)’, we will see the following.</w:t>
      </w:r>
    </w:p>
    <w:p w14:paraId="3C463000" w14:textId="77777777" w:rsidR="00FF60A2" w:rsidRDefault="00FF60A2">
      <w:pPr>
        <w:rPr>
          <w:sz w:val="18"/>
          <w:szCs w:val="18"/>
        </w:rPr>
      </w:pPr>
    </w:p>
    <w:p w14:paraId="481E76DE" w14:textId="77777777" w:rsidR="00FF60A2" w:rsidRPr="00323BF5" w:rsidRDefault="00FF60A2">
      <w:pPr>
        <w:rPr>
          <w:sz w:val="18"/>
          <w:szCs w:val="18"/>
        </w:rPr>
      </w:pPr>
    </w:p>
    <w:p w14:paraId="3BD31FF9" w14:textId="77777777" w:rsidR="000B223D" w:rsidRDefault="000B223D">
      <w:pPr>
        <w:rPr>
          <w:sz w:val="18"/>
          <w:szCs w:val="18"/>
        </w:rPr>
      </w:pPr>
    </w:p>
    <w:p w14:paraId="54FEA2FB" w14:textId="77777777" w:rsidR="00FF60A2" w:rsidRDefault="00FF60A2">
      <w:pPr>
        <w:rPr>
          <w:sz w:val="18"/>
          <w:szCs w:val="18"/>
        </w:rPr>
      </w:pPr>
    </w:p>
    <w:p w14:paraId="12B0B80D" w14:textId="77777777" w:rsidR="00FF60A2" w:rsidRDefault="00FF60A2">
      <w:pPr>
        <w:rPr>
          <w:sz w:val="18"/>
          <w:szCs w:val="18"/>
        </w:rPr>
      </w:pPr>
    </w:p>
    <w:p w14:paraId="0AAB84CB" w14:textId="77777777" w:rsidR="00FF60A2" w:rsidRDefault="00FF60A2">
      <w:pPr>
        <w:rPr>
          <w:sz w:val="18"/>
          <w:szCs w:val="18"/>
        </w:rPr>
      </w:pPr>
    </w:p>
    <w:p w14:paraId="609A3F4C" w14:textId="37D88028" w:rsidR="00FF60A2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80) Sales-Post’, in 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 function, we will call a function we will create.</w:t>
      </w:r>
      <w:r w:rsidR="008B268C">
        <w:rPr>
          <w:sz w:val="18"/>
          <w:szCs w:val="18"/>
        </w:rPr>
        <w:t xml:space="preserve"> We will name our new function ‘</w:t>
      </w:r>
      <w:proofErr w:type="spellStart"/>
      <w:r w:rsidR="008B268C" w:rsidRPr="008B268C">
        <w:rPr>
          <w:sz w:val="18"/>
          <w:szCs w:val="18"/>
        </w:rPr>
        <w:t>AfterSalesInsert</w:t>
      </w:r>
      <w:proofErr w:type="spellEnd"/>
      <w:r w:rsidR="008B268C">
        <w:rPr>
          <w:sz w:val="18"/>
          <w:szCs w:val="18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205" w14:paraId="2190719E" w14:textId="77777777" w:rsidTr="00C75205">
        <w:tc>
          <w:tcPr>
            <w:tcW w:w="9350" w:type="dxa"/>
          </w:tcPr>
          <w:p w14:paraId="3CB833F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proofErr w:type="spellStart"/>
            <w:r w:rsidRPr="00C75205">
              <w:rPr>
                <w:b/>
                <w:bCs/>
                <w:sz w:val="18"/>
                <w:szCs w:val="18"/>
              </w:rPr>
              <w:t>AfterSalesInsert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 xml:space="preserve">(VAR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 xml:space="preserve"> : Code[20])</w:t>
            </w:r>
          </w:p>
          <w:p w14:paraId="01ADAF19" w14:textId="735BA8C4" w:rsidR="00C75205" w:rsidRPr="00C75205" w:rsidRDefault="00C75205" w:rsidP="00C75205">
            <w:pPr>
              <w:rPr>
                <w:sz w:val="18"/>
                <w:szCs w:val="18"/>
              </w:rPr>
            </w:pPr>
          </w:p>
          <w:p w14:paraId="7F22FFEF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SalesinvHeader5.RESET;</w:t>
            </w:r>
          </w:p>
          <w:p w14:paraId="7CC17A5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 xml:space="preserve">SalesinvHeader5.SETRANGE(SalesinvHeader5."No.",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>);</w:t>
            </w:r>
          </w:p>
          <w:p w14:paraId="257E8E5B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IF SalesinvHeader5.FINDFIRST THEN BEGIN</w:t>
            </w:r>
          </w:p>
          <w:p w14:paraId="03280890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SalesShipmentHeader5.RESET;</w:t>
            </w:r>
          </w:p>
          <w:p w14:paraId="31DD2513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SalesShipmentHeader5.SETRANGE(SalesShipmentHeader5."Order No.", SalesinvHeader5."Order No.");           </w:t>
            </w:r>
          </w:p>
          <w:p w14:paraId="0BE41C8E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IF SalesShipmentHeader5.FINDFIRST THEN</w:t>
            </w:r>
          </w:p>
          <w:p w14:paraId="4928251D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SalesShipmentHeader5."Sales Return" := TRUE;</w:t>
            </w:r>
          </w:p>
          <w:p w14:paraId="2424A5D9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SalesShipmentHeader5.MODIFY</w:t>
            </w:r>
            <w:r w:rsidRPr="00C75205">
              <w:rPr>
                <w:sz w:val="18"/>
                <w:szCs w:val="18"/>
              </w:rPr>
              <w:t>();</w:t>
            </w:r>
          </w:p>
          <w:p w14:paraId="2CFB4748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sz w:val="18"/>
                <w:szCs w:val="18"/>
              </w:rPr>
              <w:t>END; </w:t>
            </w:r>
          </w:p>
          <w:p w14:paraId="7D863AF3" w14:textId="77777777" w:rsidR="00C75205" w:rsidRDefault="00C75205">
            <w:pPr>
              <w:rPr>
                <w:sz w:val="18"/>
                <w:szCs w:val="18"/>
              </w:rPr>
            </w:pPr>
          </w:p>
        </w:tc>
      </w:tr>
    </w:tbl>
    <w:p w14:paraId="1FDE846C" w14:textId="77777777" w:rsidR="00C75205" w:rsidRDefault="00C75205">
      <w:pPr>
        <w:rPr>
          <w:sz w:val="18"/>
          <w:szCs w:val="18"/>
        </w:rPr>
      </w:pPr>
    </w:p>
    <w:p w14:paraId="58E2098E" w14:textId="7769A812" w:rsidR="001C6B42" w:rsidRDefault="001C6B42">
      <w:pPr>
        <w:rPr>
          <w:sz w:val="18"/>
          <w:szCs w:val="18"/>
        </w:rPr>
      </w:pPr>
      <w:r>
        <w:rPr>
          <w:sz w:val="18"/>
          <w:szCs w:val="18"/>
        </w:rPr>
        <w:t xml:space="preserve">We will call this </w:t>
      </w:r>
      <w:r w:rsidR="00653181">
        <w:rPr>
          <w:sz w:val="18"/>
          <w:szCs w:val="18"/>
        </w:rPr>
        <w:t>function</w:t>
      </w:r>
      <w:r>
        <w:rPr>
          <w:sz w:val="18"/>
          <w:szCs w:val="18"/>
        </w:rPr>
        <w:t xml:space="preserve"> </w:t>
      </w:r>
      <w:r w:rsidR="00653181">
        <w:rPr>
          <w:sz w:val="18"/>
          <w:szCs w:val="18"/>
        </w:rPr>
        <w:t xml:space="preserve">in another function called </w:t>
      </w:r>
      <w:r>
        <w:rPr>
          <w:sz w:val="18"/>
          <w:szCs w:val="18"/>
        </w:rPr>
        <w:t>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181" w14:paraId="2E82F120" w14:textId="77777777" w:rsidTr="00653181">
        <w:tc>
          <w:tcPr>
            <w:tcW w:w="9350" w:type="dxa"/>
          </w:tcPr>
          <w:p w14:paraId="15B594C6" w14:textId="72BDC215" w:rsidR="00653181" w:rsidRPr="00653181" w:rsidRDefault="00653181" w:rsidP="00653181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653181" w:rsidRPr="00653181" w14:paraId="2DFCE4FB" w14:textId="77777777" w:rsidTr="006531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9331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InsertCrMemoHeader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Header";VAR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Cr.Memo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Header")</w:t>
                  </w:r>
                </w:p>
                <w:p w14:paraId="4BC8E36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WITH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DO BEGIN</w:t>
                  </w:r>
                </w:p>
                <w:p w14:paraId="74C994C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SalesCrMemoHeader.INIT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  <w:p w14:paraId="745C86E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SalesCrMemoHeader.TRANSFERFIELDS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);</w:t>
                  </w:r>
                </w:p>
                <w:p w14:paraId="1CAF4CC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IF "Document Type" = "Document Type"::"Return Order" THEN BEGIN</w:t>
                  </w:r>
                </w:p>
                <w:p w14:paraId="0C20CBC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 := "Posting No.";</w:t>
                  </w:r>
                </w:p>
                <w:p w14:paraId="613568B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."Ext. Doc. No. Mandatory" THEN</w:t>
                  </w:r>
                </w:p>
                <w:p w14:paraId="58FEA71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TESTFIELD("External Document No.");</w:t>
                  </w:r>
                </w:p>
                <w:p w14:paraId="3C5C23A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Series" := '';</w:t>
                  </w:r>
                </w:p>
                <w:p w14:paraId="35D157E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 Series" := "No. Series";</w:t>
                  </w:r>
                </w:p>
                <w:p w14:paraId="3B26DB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No." := "No.";</w:t>
                  </w:r>
                </w:p>
                <w:p w14:paraId="5CCAB3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(1,STRSUBSTNO(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674849D7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END ELSE BEGIN</w:t>
                  </w:r>
                </w:p>
                <w:p w14:paraId="5B45B96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Series" := "No. Series";</w:t>
                  </w:r>
                </w:p>
                <w:p w14:paraId="1CE6D81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No." := "No.";</w:t>
                  </w:r>
                </w:p>
                <w:p w14:paraId="5EFD009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IF "Posting No." &lt;&gt; '' THEN BEGIN</w:t>
                  </w:r>
                </w:p>
                <w:p w14:paraId="2B0C5B9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 := "Posting No.";</w:t>
                  </w:r>
                </w:p>
                <w:p w14:paraId="1422E6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(1,STRSUBSTNO(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19DEA4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END;</w:t>
                  </w:r>
                </w:p>
                <w:p w14:paraId="0D46ACE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END;</w:t>
                  </w:r>
                </w:p>
                <w:p w14:paraId="6B64F5E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."Source Code" :=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SrcCode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  <w:p w14:paraId="1B39CDA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."User ID" := USERID;</w:t>
                  </w:r>
                </w:p>
                <w:p w14:paraId="1392239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 Printed" := 0;</w:t>
                  </w:r>
                </w:p>
                <w:p w14:paraId="686CB8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."Posting Time" := TIME;   //DLR2017CU5 SRT</w:t>
                  </w:r>
                </w:p>
                <w:p w14:paraId="2DFA02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lastRenderedPageBreak/>
                    <w:t xml:space="preserve">  IF SalesHeader3.GET("Document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Type","No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.") THEN//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prabesh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to flow return document no from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ext</w:t>
                  </w:r>
                  <w:proofErr w:type="spellEnd"/>
                </w:p>
                <w:p w14:paraId="6B31C47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Document No." := SalesHeader3."Return Document No.";</w:t>
                  </w:r>
                </w:p>
                <w:p w14:paraId="6F4C21A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  <w:p w14:paraId="69CFE8AE" w14:textId="77777777" w:rsidR="00653181" w:rsidRDefault="00653181" w:rsidP="00653181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39AD22E0" w14:textId="681E496E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AfterSalesInsert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."Return Document No.");</w:t>
                  </w:r>
                </w:p>
                <w:p w14:paraId="421FCD75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5919D26D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ApprovalsMgmt.PostApprovalEntries(RECORDID,SalesCrMemoHeader.RECORDID,SalesCrMemoHeader."No.");</w:t>
                  </w:r>
                </w:p>
                <w:p w14:paraId="4EAA8008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7DFE83F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."Copy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Cmts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Ret.Ord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 to Cr. Memo" THEN BEGIN</w:t>
                  </w:r>
                </w:p>
                <w:p w14:paraId="2819FC3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CopyCommentLines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</w:p>
                <w:p w14:paraId="07ECACB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"Document Type",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SalesCommentLine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."Document Type"::"Posted Credit Memo",</w:t>
                  </w:r>
                </w:p>
                <w:p w14:paraId="1DAA6B7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 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."No.");</w:t>
                  </w:r>
                </w:p>
                <w:p w14:paraId="2DEA0B5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RecordLinkManagement.CopyLinks</w:t>
                  </w:r>
                  <w:proofErr w:type="spellEnd"/>
                  <w:r w:rsidRPr="00653181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sz w:val="18"/>
                      <w:szCs w:val="18"/>
                    </w:rPr>
                    <w:t>SalesHeader,SalesCrMemoHeader</w:t>
                  </w:r>
                  <w:proofErr w:type="spellEnd"/>
                  <w:r w:rsidRPr="00653181">
                    <w:rPr>
                      <w:sz w:val="18"/>
                      <w:szCs w:val="18"/>
                    </w:rPr>
                    <w:t>);</w:t>
                  </w:r>
                </w:p>
                <w:p w14:paraId="06C241F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END;</w:t>
                  </w:r>
                </w:p>
                <w:p w14:paraId="6569FC3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END;</w:t>
                  </w:r>
                </w:p>
              </w:tc>
            </w:tr>
          </w:tbl>
          <w:p w14:paraId="59E92A5A" w14:textId="77777777" w:rsidR="00653181" w:rsidRP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lastRenderedPageBreak/>
              <w:t> </w:t>
            </w:r>
          </w:p>
          <w:p w14:paraId="533189DE" w14:textId="610AAF3C" w:rsid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t> </w:t>
            </w:r>
          </w:p>
        </w:tc>
      </w:tr>
    </w:tbl>
    <w:p w14:paraId="799FF3FE" w14:textId="77777777" w:rsidR="001C6B42" w:rsidRDefault="001C6B42">
      <w:pPr>
        <w:rPr>
          <w:sz w:val="18"/>
          <w:szCs w:val="18"/>
        </w:rPr>
      </w:pPr>
    </w:p>
    <w:p w14:paraId="12A97326" w14:textId="1AF21EEB" w:rsidR="00B0754B" w:rsidRDefault="00B0754B">
      <w:pPr>
        <w:rPr>
          <w:rFonts w:ascii="Verdana" w:hAnsi="Verdana"/>
          <w:sz w:val="18"/>
          <w:szCs w:val="18"/>
        </w:rPr>
      </w:pPr>
      <w:r w:rsidRPr="001C635E">
        <w:rPr>
          <w:rFonts w:ascii="Verdana" w:hAnsi="Verdana"/>
          <w:sz w:val="18"/>
          <w:szCs w:val="18"/>
        </w:rPr>
        <w:t xml:space="preserve">We will pass a return type parameter in this function. Since, Table/Page ‘Sales Credit Memo’ only has this field ‘Return Document No.’, we will only pass this </w:t>
      </w:r>
      <w:r w:rsidR="00A468DD" w:rsidRPr="001C635E">
        <w:rPr>
          <w:rFonts w:ascii="Verdana" w:hAnsi="Verdana"/>
          <w:sz w:val="18"/>
          <w:szCs w:val="18"/>
        </w:rPr>
        <w:t>field,</w:t>
      </w:r>
      <w:r w:rsidRPr="001C635E">
        <w:rPr>
          <w:rFonts w:ascii="Verdana" w:hAnsi="Verdana"/>
          <w:sz w:val="18"/>
          <w:szCs w:val="18"/>
        </w:rPr>
        <w:t xml:space="preserve"> and we will use </w:t>
      </w:r>
      <w:proofErr w:type="spellStart"/>
      <w:r w:rsidRPr="001C635E">
        <w:rPr>
          <w:rFonts w:ascii="Verdana" w:hAnsi="Verdana"/>
          <w:sz w:val="18"/>
          <w:szCs w:val="18"/>
        </w:rPr>
        <w:t>setrange</w:t>
      </w:r>
      <w:proofErr w:type="spellEnd"/>
      <w:r w:rsidRPr="001C635E">
        <w:rPr>
          <w:rFonts w:ascii="Verdana" w:hAnsi="Verdana"/>
          <w:sz w:val="18"/>
          <w:szCs w:val="18"/>
        </w:rPr>
        <w:t xml:space="preserve"> for other required fields like ‘Order No.’ of ‘Sales Shipment Header’ and ‘Sales Invoice Header’ and ‘No.’ of ‘Sales Invoice Header’.</w:t>
      </w:r>
    </w:p>
    <w:p w14:paraId="07669518" w14:textId="77777777" w:rsidR="00C943E8" w:rsidRDefault="00C943E8">
      <w:pPr>
        <w:rPr>
          <w:rFonts w:ascii="Verdana" w:hAnsi="Verdana"/>
          <w:sz w:val="18"/>
          <w:szCs w:val="18"/>
        </w:rPr>
      </w:pPr>
    </w:p>
    <w:p w14:paraId="7880E8EC" w14:textId="5A36B1A7" w:rsidR="00A468DD" w:rsidRPr="00A468DD" w:rsidRDefault="00A468DD">
      <w:pPr>
        <w:rPr>
          <w:rFonts w:ascii="Verdana" w:hAnsi="Verdana"/>
          <w:b/>
          <w:bCs/>
          <w:sz w:val="18"/>
          <w:szCs w:val="18"/>
          <w:u w:val="single"/>
        </w:rPr>
      </w:pPr>
      <w:r w:rsidRPr="00A468DD">
        <w:rPr>
          <w:rFonts w:ascii="Verdana" w:hAnsi="Verdana"/>
          <w:b/>
          <w:bCs/>
          <w:sz w:val="18"/>
          <w:szCs w:val="18"/>
          <w:u w:val="single"/>
        </w:rPr>
        <w:t>New Requirement:</w:t>
      </w:r>
    </w:p>
    <w:p w14:paraId="6035D28E" w14:textId="591AEB85" w:rsidR="00A468DD" w:rsidRDefault="00A468D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field ‘Sales Return’ Boolean must be in Posted Invoice Header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3E8" w14:paraId="4C4B0E4B" w14:textId="77777777" w:rsidTr="00C943E8">
        <w:tc>
          <w:tcPr>
            <w:tcW w:w="9350" w:type="dxa"/>
          </w:tcPr>
          <w:p w14:paraId="5C79EB77" w14:textId="6CF3C454" w:rsidR="00C943E8" w:rsidRDefault="00C943E8">
            <w:pPr>
              <w:rPr>
                <w:rFonts w:ascii="Verdana" w:hAnsi="Verdana"/>
                <w:sz w:val="18"/>
                <w:szCs w:val="18"/>
              </w:rPr>
            </w:pPr>
            <w:r w:rsidRPr="00C943E8">
              <w:rPr>
                <w:rFonts w:ascii="Verdana" w:hAnsi="Verdana"/>
                <w:sz w:val="18"/>
                <w:szCs w:val="18"/>
              </w:rPr>
              <w:t>SalesinvHeader5.RESET;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 xml:space="preserve">SalesinvHeader5.SETRANGE(SalesinvHeader5."No.", </w:t>
            </w:r>
            <w:proofErr w:type="spellStart"/>
            <w:r w:rsidRPr="00C943E8">
              <w:rPr>
                <w:rFonts w:ascii="Verdana" w:hAnsi="Verdana"/>
                <w:sz w:val="18"/>
                <w:szCs w:val="18"/>
              </w:rPr>
              <w:t>SalesCrMemoReturnDocNo</w:t>
            </w:r>
            <w:proofErr w:type="spellEnd"/>
            <w:r w:rsidRPr="00C943E8">
              <w:rPr>
                <w:rFonts w:ascii="Verdana" w:hAnsi="Verdana"/>
                <w:sz w:val="18"/>
                <w:szCs w:val="18"/>
              </w:rPr>
              <w:t>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IF SalesinvHeader5.FINDFIRST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SalesShipmentHeader5.RESET;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SalesShipmentHeader5.SETRANGE(SalesShipmentHeader5."Order No.", SalesinvHeader5."Order No.");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SalesShipmentHeader5.SETRANGE(SalesShipmentHeader5."Ship cancel", FALSE);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IF SalesShipmentHeader5.FINDFIRST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REPEAT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   SalesShipmentHeader5."Sales Return" := TRUE;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   SalesShipmentHeader5.MODIFY;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UNTIL SalesShipmentHeader5.NEXT = 0;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END;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IF SalesShipmentHeader5.FINDFIRST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SalesinvHeader5."Sales Return" := TRUE;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SalesinvHeader5.MODIFY();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END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</w:r>
            <w:proofErr w:type="spellStart"/>
            <w:r w:rsidRPr="00C943E8">
              <w:rPr>
                <w:rFonts w:ascii="Verdana" w:hAnsi="Verdana"/>
                <w:sz w:val="18"/>
                <w:szCs w:val="18"/>
              </w:rPr>
              <w:t>END</w:t>
            </w:r>
            <w:proofErr w:type="spellEnd"/>
            <w:r w:rsidRPr="00C943E8">
              <w:rPr>
                <w:rFonts w:ascii="Verdana" w:hAnsi="Verdana"/>
                <w:sz w:val="18"/>
                <w:szCs w:val="18"/>
              </w:rPr>
              <w:t>;</w:t>
            </w:r>
          </w:p>
        </w:tc>
      </w:tr>
    </w:tbl>
    <w:p w14:paraId="1163CDE2" w14:textId="77777777" w:rsidR="00C943E8" w:rsidRPr="001C635E" w:rsidRDefault="00C943E8">
      <w:pPr>
        <w:rPr>
          <w:rFonts w:ascii="Verdana" w:hAnsi="Verdana"/>
          <w:sz w:val="18"/>
          <w:szCs w:val="18"/>
        </w:rPr>
      </w:pPr>
    </w:p>
    <w:sectPr w:rsidR="00C943E8" w:rsidRPr="001C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A61"/>
    <w:multiLevelType w:val="hybridMultilevel"/>
    <w:tmpl w:val="68643766"/>
    <w:lvl w:ilvl="0" w:tplc="2D20A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966F0"/>
    <w:multiLevelType w:val="hybridMultilevel"/>
    <w:tmpl w:val="CE1CC4EA"/>
    <w:lvl w:ilvl="0" w:tplc="BF2EE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A6544"/>
    <w:multiLevelType w:val="hybridMultilevel"/>
    <w:tmpl w:val="F69A00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00681"/>
    <w:multiLevelType w:val="hybridMultilevel"/>
    <w:tmpl w:val="F456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F4C2B"/>
    <w:multiLevelType w:val="hybridMultilevel"/>
    <w:tmpl w:val="49B6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37653">
    <w:abstractNumId w:val="4"/>
  </w:num>
  <w:num w:numId="2" w16cid:durableId="1501189722">
    <w:abstractNumId w:val="2"/>
  </w:num>
  <w:num w:numId="3" w16cid:durableId="1194029317">
    <w:abstractNumId w:val="0"/>
  </w:num>
  <w:num w:numId="4" w16cid:durableId="148519388">
    <w:abstractNumId w:val="1"/>
  </w:num>
  <w:num w:numId="5" w16cid:durableId="92780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8"/>
    <w:rsid w:val="000B223D"/>
    <w:rsid w:val="000C6E11"/>
    <w:rsid w:val="000F7360"/>
    <w:rsid w:val="0012159E"/>
    <w:rsid w:val="00167DD1"/>
    <w:rsid w:val="001C635E"/>
    <w:rsid w:val="001C6B42"/>
    <w:rsid w:val="001F390F"/>
    <w:rsid w:val="002006C8"/>
    <w:rsid w:val="00260533"/>
    <w:rsid w:val="00300D56"/>
    <w:rsid w:val="00323BF5"/>
    <w:rsid w:val="003412E0"/>
    <w:rsid w:val="00423F11"/>
    <w:rsid w:val="0045465E"/>
    <w:rsid w:val="00507116"/>
    <w:rsid w:val="005D29E1"/>
    <w:rsid w:val="00653181"/>
    <w:rsid w:val="006933E3"/>
    <w:rsid w:val="00725481"/>
    <w:rsid w:val="007876FA"/>
    <w:rsid w:val="00836593"/>
    <w:rsid w:val="008B268C"/>
    <w:rsid w:val="008D1086"/>
    <w:rsid w:val="008F01FF"/>
    <w:rsid w:val="00A323C0"/>
    <w:rsid w:val="00A468DD"/>
    <w:rsid w:val="00B0754B"/>
    <w:rsid w:val="00C127F3"/>
    <w:rsid w:val="00C47D68"/>
    <w:rsid w:val="00C5733A"/>
    <w:rsid w:val="00C75205"/>
    <w:rsid w:val="00C822E3"/>
    <w:rsid w:val="00C943E8"/>
    <w:rsid w:val="00CC5C08"/>
    <w:rsid w:val="00D109CF"/>
    <w:rsid w:val="00FD49E5"/>
    <w:rsid w:val="00FF0462"/>
    <w:rsid w:val="00FF1A2A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518F"/>
  <w15:chartTrackingRefBased/>
  <w15:docId w15:val="{CDA5F3DF-B959-41E1-BE23-B3949AA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81"/>
  </w:style>
  <w:style w:type="paragraph" w:styleId="Heading1">
    <w:name w:val="heading 1"/>
    <w:basedOn w:val="Normal"/>
    <w:next w:val="Normal"/>
    <w:link w:val="Heading1Char"/>
    <w:uiPriority w:val="9"/>
    <w:qFormat/>
    <w:rsid w:val="00C4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36</cp:revision>
  <dcterms:created xsi:type="dcterms:W3CDTF">2024-08-06T05:59:00Z</dcterms:created>
  <dcterms:modified xsi:type="dcterms:W3CDTF">2024-08-09T02:46:00Z</dcterms:modified>
</cp:coreProperties>
</file>