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29. 9. 2023</w:t>
      </w:r>
    </w:p>
    <w:p>
      <w:pPr>
        <w:pStyle w:val="Heading1"/>
        <w:numPr>
          <w:ilvl w:val="0"/>
          <w:numId w:val="0"/>
        </w:numPr>
        <w:ind w:left="0" w:hanging="0"/>
        <w:jc w:val="center"/>
        <w:rPr/>
      </w:pPr>
      <w:r>
        <w:rPr/>
        <w:t>Pomnožná, hromadná, látková</w:t>
      </w:r>
    </w:p>
    <w:p>
      <w:pPr>
        <w:pStyle w:val="TextBody"/>
        <w:numPr>
          <w:ilvl w:val="0"/>
          <w:numId w:val="4"/>
        </w:numPr>
        <w:jc w:val="left"/>
        <w:rPr/>
      </w:pPr>
      <w:r>
        <w:rPr/>
        <w:t>Pomnožné – Množným číslem označuje jednu skutečnost</w:t>
      </w:r>
    </w:p>
    <w:p>
      <w:pPr>
        <w:pStyle w:val="TextBody"/>
        <w:numPr>
          <w:ilvl w:val="0"/>
          <w:numId w:val="4"/>
        </w:numPr>
        <w:jc w:val="left"/>
        <w:rPr/>
      </w:pPr>
      <w:r>
        <w:rPr/>
        <w:t>Hromadné – Jednotným číslem označuje větší počet jevů téhož druhu</w:t>
      </w:r>
    </w:p>
    <w:p>
      <w:pPr>
        <w:pStyle w:val="TextBody"/>
        <w:numPr>
          <w:ilvl w:val="0"/>
          <w:numId w:val="4"/>
        </w:numPr>
        <w:jc w:val="left"/>
        <w:rPr/>
      </w:pPr>
      <w:r>
        <w:rPr/>
        <w:t>Látkové – Označuje skutečnost bez ohledu na množství</w:t>
      </w:r>
    </w:p>
    <w:tbl>
      <w:tblPr>
        <w:tblW w:w="5000" w:type="pct"/>
        <w:jc w:val="left"/>
        <w:tblInd w:w="-14" w:type="dxa"/>
        <w:tblLayout w:type="fixed"/>
        <w:tblCellMar>
          <w:top w:w="55" w:type="dxa"/>
          <w:left w:w="55" w:type="dxa"/>
          <w:bottom w:w="55" w:type="dxa"/>
          <w:right w:w="55" w:type="dxa"/>
        </w:tblCellMar>
      </w:tblPr>
      <w:tblGrid>
        <w:gridCol w:w="3008"/>
        <w:gridCol w:w="3009"/>
        <w:gridCol w:w="3009"/>
      </w:tblGrid>
      <w:tr>
        <w:trPr/>
        <w:tc>
          <w:tcPr>
            <w:tcW w:w="3008" w:type="dxa"/>
            <w:tcBorders>
              <w:top w:val="thinThickSmallGap" w:sz="2" w:space="0" w:color="000000"/>
              <w:left w:val="thinThickSmallGap" w:sz="2" w:space="0" w:color="000000"/>
              <w:bottom w:val="thinThickSmallGap" w:sz="2" w:space="0" w:color="000000"/>
            </w:tcBorders>
          </w:tcPr>
          <w:p>
            <w:pPr>
              <w:pStyle w:val="Heading2"/>
              <w:widowControl w:val="false"/>
              <w:numPr>
                <w:ilvl w:val="1"/>
                <w:numId w:val="2"/>
              </w:numPr>
              <w:spacing w:before="200" w:after="120"/>
              <w:rPr>
                <w:sz w:val="28"/>
                <w:szCs w:val="32"/>
              </w:rPr>
            </w:pPr>
            <w:r>
              <w:rPr>
                <w:sz w:val="28"/>
                <w:szCs w:val="32"/>
              </w:rPr>
              <w:t>Pomnožná</w:t>
            </w:r>
          </w:p>
        </w:tc>
        <w:tc>
          <w:tcPr>
            <w:tcW w:w="3009" w:type="dxa"/>
            <w:tcBorders>
              <w:top w:val="thinThickSmallGap" w:sz="2" w:space="0" w:color="000000"/>
              <w:left w:val="thinThickSmallGap" w:sz="2" w:space="0" w:color="000000"/>
              <w:bottom w:val="thinThickSmallGap" w:sz="2" w:space="0" w:color="000000"/>
            </w:tcBorders>
          </w:tcPr>
          <w:p>
            <w:pPr>
              <w:pStyle w:val="Heading2"/>
              <w:widowControl w:val="false"/>
              <w:numPr>
                <w:ilvl w:val="1"/>
                <w:numId w:val="2"/>
              </w:numPr>
              <w:spacing w:before="200" w:after="120"/>
              <w:rPr>
                <w:sz w:val="28"/>
                <w:szCs w:val="32"/>
              </w:rPr>
            </w:pPr>
            <w:r>
              <w:rPr>
                <w:sz w:val="28"/>
                <w:szCs w:val="32"/>
              </w:rPr>
              <w:t>Hromadná</w:t>
            </w:r>
          </w:p>
        </w:tc>
        <w:tc>
          <w:tcPr>
            <w:tcW w:w="3009" w:type="dxa"/>
            <w:tcBorders>
              <w:top w:val="thinThickSmallGap" w:sz="2" w:space="0" w:color="000000"/>
              <w:left w:val="thinThickSmallGap" w:sz="2" w:space="0" w:color="000000"/>
              <w:bottom w:val="thinThickSmallGap" w:sz="2" w:space="0" w:color="000000"/>
              <w:right w:val="thinThickSmallGap" w:sz="2" w:space="0" w:color="000000"/>
            </w:tcBorders>
          </w:tcPr>
          <w:p>
            <w:pPr>
              <w:pStyle w:val="Heading2"/>
              <w:widowControl w:val="false"/>
              <w:numPr>
                <w:ilvl w:val="1"/>
                <w:numId w:val="2"/>
              </w:numPr>
              <w:spacing w:before="200" w:after="120"/>
              <w:rPr>
                <w:sz w:val="28"/>
                <w:szCs w:val="32"/>
              </w:rPr>
            </w:pPr>
            <w:r>
              <w:rPr>
                <w:sz w:val="28"/>
                <w:szCs w:val="32"/>
              </w:rPr>
              <w:t>Látková</w:t>
            </w:r>
          </w:p>
        </w:tc>
      </w:tr>
      <w:tr>
        <w:trPr/>
        <w:tc>
          <w:tcPr>
            <w:tcW w:w="3008" w:type="dxa"/>
            <w:tcBorders>
              <w:left w:val="thinThickSmallGap" w:sz="2" w:space="0" w:color="000000"/>
              <w:bottom w:val="thinThickSmallGap" w:sz="2" w:space="0" w:color="000000"/>
            </w:tcBorders>
          </w:tcPr>
          <w:p>
            <w:pPr>
              <w:pStyle w:val="TextBody"/>
              <w:widowControl w:val="false"/>
              <w:spacing w:before="0" w:after="140"/>
              <w:jc w:val="center"/>
              <w:rPr/>
            </w:pPr>
            <w:r>
              <w:rPr/>
              <w:t>vrata, Pardubice, housle, kamna</w:t>
            </w:r>
          </w:p>
        </w:tc>
        <w:tc>
          <w:tcPr>
            <w:tcW w:w="3009" w:type="dxa"/>
            <w:tcBorders>
              <w:left w:val="thinThickSmallGap" w:sz="2" w:space="0" w:color="000000"/>
              <w:bottom w:val="thinThickSmallGap" w:sz="2" w:space="0" w:color="000000"/>
            </w:tcBorders>
          </w:tcPr>
          <w:p>
            <w:pPr>
              <w:pStyle w:val="TextBody"/>
              <w:widowControl w:val="false"/>
              <w:spacing w:before="0" w:after="140"/>
              <w:jc w:val="center"/>
              <w:rPr/>
            </w:pPr>
            <w:r>
              <w:rPr/>
              <w:t>obyvatelstvo, uhlí, obilí, dobytek</w:t>
            </w:r>
          </w:p>
        </w:tc>
        <w:tc>
          <w:tcPr>
            <w:tcW w:w="3009" w:type="dxa"/>
            <w:tcBorders>
              <w:left w:val="thinThickSmallGap" w:sz="2" w:space="0" w:color="000000"/>
              <w:bottom w:val="thinThickSmallGap" w:sz="2" w:space="0" w:color="000000"/>
              <w:right w:val="thinThickSmallGap" w:sz="2" w:space="0" w:color="000000"/>
            </w:tcBorders>
          </w:tcPr>
          <w:p>
            <w:pPr>
              <w:pStyle w:val="TextBody"/>
              <w:widowControl w:val="false"/>
              <w:spacing w:before="0" w:after="140"/>
              <w:jc w:val="center"/>
              <w:rPr/>
            </w:pPr>
            <w:r>
              <w:rPr/>
              <w:t>krev, káva</w:t>
            </w:r>
          </w:p>
        </w:tc>
      </w:tr>
    </w:tbl>
    <w:p>
      <w:pPr>
        <w:pStyle w:val="TextBody"/>
        <w:jc w:val="left"/>
        <w:rPr/>
      </w:pPr>
      <w:r>
        <w:rPr/>
      </w:r>
    </w:p>
    <w:p>
      <w:pPr>
        <w:pStyle w:val="Heading1"/>
        <w:numPr>
          <w:ilvl w:val="0"/>
          <w:numId w:val="2"/>
        </w:numPr>
        <w:jc w:val="center"/>
        <w:rPr/>
      </w:pPr>
      <w:r>
        <w:rPr/>
        <w:t>Podstatná jména konkrétní a abstraktní</w:t>
      </w:r>
    </w:p>
    <w:p>
      <w:pPr>
        <w:pStyle w:val="TextBody"/>
        <w:numPr>
          <w:ilvl w:val="0"/>
          <w:numId w:val="3"/>
        </w:numPr>
        <w:jc w:val="left"/>
        <w:rPr/>
      </w:pPr>
      <w:r>
        <w:rPr/>
        <w:t>Podle významu dělíme podstatná jména na:</w:t>
      </w:r>
    </w:p>
    <w:p>
      <w:pPr>
        <w:pStyle w:val="TextBody"/>
        <w:numPr>
          <w:ilvl w:val="1"/>
          <w:numId w:val="3"/>
        </w:numPr>
        <w:jc w:val="left"/>
        <w:rPr/>
      </w:pPr>
      <w:r>
        <w:rPr/>
        <w:t>konkrétní – označují názvy osob, zvířat a věcí</w:t>
      </w:r>
    </w:p>
    <w:p>
      <w:pPr>
        <w:pStyle w:val="TextBody"/>
        <w:numPr>
          <w:ilvl w:val="1"/>
          <w:numId w:val="3"/>
        </w:numPr>
        <w:jc w:val="left"/>
        <w:rPr/>
      </w:pPr>
      <w:r>
        <w:rPr/>
        <w:t>abstraktní – označují vlastnosti, děje, činnosti</w:t>
      </w:r>
    </w:p>
    <w:tbl>
      <w:tblPr>
        <w:tblW w:w="5000" w:type="pct"/>
        <w:jc w:val="left"/>
        <w:tblInd w:w="-8" w:type="dxa"/>
        <w:tblLayout w:type="fixed"/>
        <w:tblCellMar>
          <w:top w:w="55" w:type="dxa"/>
          <w:left w:w="55" w:type="dxa"/>
          <w:bottom w:w="55" w:type="dxa"/>
          <w:right w:w="55" w:type="dxa"/>
        </w:tblCellMar>
      </w:tblPr>
      <w:tblGrid>
        <w:gridCol w:w="4512"/>
        <w:gridCol w:w="4513"/>
      </w:tblGrid>
      <w:tr>
        <w:trPr/>
        <w:tc>
          <w:tcPr>
            <w:tcW w:w="4512" w:type="dxa"/>
            <w:tcBorders>
              <w:top w:val="thinThickMediumGap" w:sz="2" w:space="0" w:color="000000"/>
              <w:left w:val="thinThickMediumGap" w:sz="2" w:space="0" w:color="000000"/>
              <w:bottom w:val="thinThickMediumGap" w:sz="2" w:space="0" w:color="000000"/>
            </w:tcBorders>
          </w:tcPr>
          <w:p>
            <w:pPr>
              <w:pStyle w:val="Heading2"/>
              <w:widowControl w:val="false"/>
              <w:numPr>
                <w:ilvl w:val="0"/>
                <w:numId w:val="0"/>
              </w:numPr>
              <w:spacing w:before="200" w:after="120"/>
              <w:ind w:left="0" w:hanging="0"/>
              <w:jc w:val="center"/>
              <w:rPr>
                <w:sz w:val="28"/>
                <w:szCs w:val="32"/>
              </w:rPr>
            </w:pPr>
            <w:r>
              <w:rPr>
                <w:sz w:val="28"/>
                <w:szCs w:val="32"/>
              </w:rPr>
              <w:t>Konkrétní</w:t>
            </w:r>
          </w:p>
        </w:tc>
        <w:tc>
          <w:tcPr>
            <w:tcW w:w="4513" w:type="dxa"/>
            <w:tcBorders>
              <w:top w:val="thinThickMediumGap" w:sz="2" w:space="0" w:color="000000"/>
              <w:left w:val="thinThickMediumGap" w:sz="2" w:space="0" w:color="000000"/>
              <w:bottom w:val="thinThickMediumGap" w:sz="2" w:space="0" w:color="000000"/>
              <w:right w:val="thinThickMediumGap" w:sz="2" w:space="0" w:color="000000"/>
            </w:tcBorders>
          </w:tcPr>
          <w:p>
            <w:pPr>
              <w:pStyle w:val="Heading2"/>
              <w:widowControl w:val="false"/>
              <w:numPr>
                <w:ilvl w:val="0"/>
                <w:numId w:val="0"/>
              </w:numPr>
              <w:spacing w:before="200" w:after="120"/>
              <w:ind w:left="0" w:hanging="0"/>
              <w:jc w:val="center"/>
              <w:rPr>
                <w:sz w:val="28"/>
                <w:szCs w:val="32"/>
              </w:rPr>
            </w:pPr>
            <w:r>
              <w:rPr>
                <w:sz w:val="28"/>
                <w:szCs w:val="32"/>
              </w:rPr>
              <w:t>Abstraktní</w:t>
            </w:r>
          </w:p>
        </w:tc>
      </w:tr>
      <w:tr>
        <w:trPr/>
        <w:tc>
          <w:tcPr>
            <w:tcW w:w="4512" w:type="dxa"/>
            <w:tcBorders>
              <w:left w:val="thinThickMediumGap" w:sz="2" w:space="0" w:color="000000"/>
              <w:bottom w:val="thinThickMediumGap" w:sz="2" w:space="0" w:color="000000"/>
            </w:tcBorders>
          </w:tcPr>
          <w:p>
            <w:pPr>
              <w:pStyle w:val="TableContents"/>
              <w:widowControl w:val="false"/>
              <w:spacing w:before="0" w:after="160"/>
              <w:jc w:val="center"/>
              <w:rPr/>
            </w:pPr>
            <w:r>
              <w:rPr/>
              <w:t>Nečistota, koutě, oči, ocas, kočka, zvíře džunglí, bestie</w:t>
            </w:r>
          </w:p>
        </w:tc>
        <w:tc>
          <w:tcPr>
            <w:tcW w:w="4513" w:type="dxa"/>
            <w:tcBorders>
              <w:left w:val="thinThickMediumGap" w:sz="2" w:space="0" w:color="000000"/>
              <w:bottom w:val="thinThickMediumGap" w:sz="2" w:space="0" w:color="000000"/>
              <w:right w:val="thinThickMediumGap" w:sz="2" w:space="0" w:color="000000"/>
            </w:tcBorders>
          </w:tcPr>
          <w:p>
            <w:pPr>
              <w:pStyle w:val="TableContents"/>
              <w:widowControl w:val="false"/>
              <w:spacing w:before="0" w:after="160"/>
              <w:jc w:val="center"/>
              <w:rPr/>
            </w:pPr>
            <w:r>
              <w:rPr/>
              <w:t>Výraz, strach, nenávist, odpor, hrůza, zášť, zločinnost</w:t>
            </w:r>
          </w:p>
        </w:tc>
      </w:tr>
    </w:tbl>
    <w:p>
      <w:pPr>
        <w:pStyle w:val="TextBody"/>
        <w:spacing w:before="0" w:after="140"/>
        <w:jc w:val="left"/>
        <w:rPr/>
      </w:pPr>
      <w:r>
        <w:rPr/>
      </w:r>
    </w:p>
    <w:p>
      <w:pPr>
        <w:pStyle w:val="TextBody"/>
        <w:spacing w:before="0" w:after="140"/>
        <w:jc w:val="center"/>
        <w:rPr/>
      </w:pPr>
      <w:r>
        <w:rPr/>
        <w:t>13. 10. 2023</w:t>
      </w:r>
    </w:p>
    <w:p>
      <w:pPr>
        <w:pStyle w:val="Heading1"/>
        <w:numPr>
          <w:ilvl w:val="0"/>
          <w:numId w:val="2"/>
        </w:numPr>
        <w:jc w:val="center"/>
        <w:rPr/>
      </w:pPr>
      <w:r>
        <w:rPr/>
        <w:t>Přídavná jména</w:t>
      </w:r>
    </w:p>
    <w:p>
      <w:pPr>
        <w:pStyle w:val="TextBody"/>
        <w:numPr>
          <w:ilvl w:val="0"/>
          <w:numId w:val="5"/>
        </w:numPr>
        <w:jc w:val="left"/>
        <w:rPr/>
      </w:pPr>
      <w:r>
        <w:rPr/>
        <w:t>Tvrdý – Mladý</w:t>
      </w:r>
    </w:p>
    <w:p>
      <w:pPr>
        <w:pStyle w:val="TextBody"/>
        <w:numPr>
          <w:ilvl w:val="0"/>
          <w:numId w:val="5"/>
        </w:numPr>
        <w:jc w:val="left"/>
        <w:rPr/>
      </w:pPr>
      <w:r>
        <w:rPr/>
        <w:t>Měkké – Jarní</w:t>
      </w:r>
    </w:p>
    <w:p>
      <w:pPr>
        <w:pStyle w:val="TextBody"/>
        <w:numPr>
          <w:ilvl w:val="0"/>
          <w:numId w:val="5"/>
        </w:numPr>
        <w:spacing w:before="0" w:after="140"/>
        <w:jc w:val="left"/>
        <w:rPr/>
      </w:pPr>
      <w:r>
        <w:rPr/>
        <w:t>Přivlastňovací – Otcův/matčin</w:t>
      </w:r>
    </w:p>
    <w:p>
      <w:pPr>
        <w:pStyle w:val="TextBody"/>
        <w:spacing w:before="0" w:after="140"/>
        <w:jc w:val="left"/>
        <w:rPr/>
      </w:pPr>
      <w:r>
        <w:rPr/>
      </w:r>
      <w:r>
        <w:br w:type="page"/>
      </w:r>
    </w:p>
    <w:p>
      <w:pPr>
        <w:pStyle w:val="TextBody"/>
        <w:spacing w:before="0" w:after="140"/>
        <w:jc w:val="center"/>
        <w:rPr/>
      </w:pPr>
      <w:r>
        <w:rPr/>
        <w:t>19. 10. 2023</w:t>
      </w:r>
    </w:p>
    <w:p>
      <w:pPr>
        <w:pStyle w:val="Heading1"/>
        <w:numPr>
          <w:ilvl w:val="0"/>
          <w:numId w:val="2"/>
        </w:numPr>
        <w:jc w:val="center"/>
        <w:rPr/>
      </w:pPr>
      <w:r>
        <w:rPr/>
        <w:t>Popis</w:t>
      </w:r>
    </w:p>
    <w:p>
      <w:pPr>
        <w:pStyle w:val="TextBody"/>
        <w:jc w:val="left"/>
        <w:rPr/>
      </w:pPr>
      <w:r>
        <w:rPr/>
        <w:t>Třída druhá A, se nachází na Super Prestižní Škole Elektrotechnické v centru Havířova.</w:t>
      </w:r>
    </w:p>
    <w:p>
      <w:pPr>
        <w:pStyle w:val="TextBody"/>
        <w:jc w:val="left"/>
        <w:rPr/>
      </w:pPr>
      <w:r>
        <w:rPr/>
        <w:t>Když vstoupíme do třídy, ihned si všimneme vzorů na oknech. Na sloupech mezi nimi nám visí květináče a v nich kartónové květiny či zelený kartónový kaktus a na římse nám sedí náš jedinečný Kája. Po levé straně máme zadní část místnosti, která je ozdobená jmény, zarámovanými plakáty a samozřejmě nástěnkou. Na nástěnce nalezneme vše od fotek naší šílené třídy po rozvrh ve stylu inventáře ze hry Minecraft…</w:t>
      </w:r>
    </w:p>
    <w:p>
      <w:pPr>
        <w:pStyle w:val="TextBody"/>
        <w:spacing w:before="0" w:after="140"/>
        <w:jc w:val="left"/>
        <w:rPr/>
      </w:pPr>
      <w:r>
        <w:rPr/>
        <w:t>Třída je famózně vyzdobená a perfektně vystihuje její obyvatele. Na místě jediné věci, co této třídě chybí se umístili pavouci, kteří měli vyset ze stropu.</w:t>
      </w:r>
    </w:p>
    <w:p>
      <w:pPr>
        <w:pStyle w:val="TextBody"/>
        <w:spacing w:before="0" w:after="140"/>
        <w:jc w:val="center"/>
        <w:rPr/>
      </w:pPr>
      <w:r>
        <w:rPr/>
        <w:t>30. 11. 2023</w:t>
      </w:r>
    </w:p>
    <w:p>
      <w:pPr>
        <w:pStyle w:val="Heading1"/>
        <w:numPr>
          <w:ilvl w:val="0"/>
          <w:numId w:val="2"/>
        </w:numPr>
        <w:jc w:val="center"/>
        <w:rPr/>
      </w:pPr>
      <w:r>
        <w:rPr/>
        <w:t>Popis scény</w:t>
      </w:r>
    </w:p>
    <w:p>
      <w:pPr>
        <w:pStyle w:val="TextBody"/>
        <w:jc w:val="left"/>
        <w:rPr/>
      </w:pPr>
      <w:r>
        <w:rPr/>
        <w:t>Těšínské divadlo, místo kulturní zábavy, se vyskytuje v centru Českého Těšína, pár kroků od nemocnice.</w:t>
      </w:r>
    </w:p>
    <w:p>
      <w:pPr>
        <w:pStyle w:val="TextBody"/>
        <w:jc w:val="left"/>
        <w:rPr/>
      </w:pPr>
      <w:r>
        <w:rPr/>
        <w:t xml:space="preserve">Přes starobylý a temný les, pole plno vysokých stromů, se přeneseme k starobylému kovovému plotu. Uprostřed naší scény máme starou rozvrzanou postel, 2 starobylé komody. Vanička naplněná vodou leží v prostředí dění se starým, dřevěným pahýlem. </w:t>
      </w:r>
    </w:p>
    <w:p>
      <w:pPr>
        <w:pStyle w:val="TextBody"/>
        <w:jc w:val="center"/>
        <w:rPr/>
      </w:pPr>
      <w:r>
        <w:rPr/>
        <w:t>8. 12. 2023</w:t>
      </w:r>
    </w:p>
    <w:p>
      <w:pPr>
        <w:pStyle w:val="TextBody"/>
        <w:spacing w:before="0" w:after="140"/>
        <w:jc w:val="left"/>
        <w:rPr/>
      </w:pPr>
      <w:r>
        <w:rPr/>
        <w:t>Zveme vás do</w:t>
      </w:r>
      <w:r>
        <w:rPr>
          <w:b/>
          <w:bCs/>
        </w:rPr>
        <w:t xml:space="preserve"> místní </w:t>
      </w:r>
      <w:r>
        <w:rPr/>
        <w:t xml:space="preserve">restaurace Vivo. V </w:t>
      </w:r>
      <w:r>
        <w:rPr>
          <w:b/>
          <w:bCs/>
        </w:rPr>
        <w:t>bohatším</w:t>
      </w:r>
      <w:r>
        <w:rPr/>
        <w:t xml:space="preserve"> prostředí mohou </w:t>
      </w:r>
      <w:r>
        <w:rPr>
          <w:b/>
          <w:bCs/>
        </w:rPr>
        <w:t>hladoví</w:t>
      </w:r>
      <w:r>
        <w:rPr/>
        <w:t xml:space="preserve"> hosté ochutnat </w:t>
      </w:r>
      <w:r>
        <w:rPr>
          <w:b/>
          <w:bCs/>
        </w:rPr>
        <w:t>šéfkuchařovi</w:t>
      </w:r>
      <w:r>
        <w:rPr>
          <w:b w:val="false"/>
          <w:bCs w:val="false"/>
        </w:rPr>
        <w:t xml:space="preserve"> speciality jako</w:t>
      </w:r>
      <w:r>
        <w:rPr>
          <w:b/>
          <w:bCs/>
        </w:rPr>
        <w:t xml:space="preserve"> vepřový </w:t>
      </w:r>
      <w:r>
        <w:rPr>
          <w:b w:val="false"/>
          <w:bCs w:val="false"/>
        </w:rPr>
        <w:t>jazyk s</w:t>
      </w:r>
      <w:r>
        <w:rPr>
          <w:b/>
          <w:bCs/>
        </w:rPr>
        <w:t xml:space="preserve"> hříbkovým </w:t>
      </w:r>
      <w:r>
        <w:rPr>
          <w:b w:val="false"/>
          <w:bCs w:val="false"/>
        </w:rPr>
        <w:t xml:space="preserve">pyré nebo </w:t>
      </w:r>
      <w:r>
        <w:rPr>
          <w:b/>
          <w:bCs/>
        </w:rPr>
        <w:t>grilovanou hovězí</w:t>
      </w:r>
      <w:r>
        <w:rPr>
          <w:b w:val="false"/>
          <w:bCs w:val="false"/>
        </w:rPr>
        <w:t xml:space="preserve"> panenku na</w:t>
      </w:r>
      <w:r>
        <w:rPr>
          <w:b/>
          <w:bCs/>
        </w:rPr>
        <w:t xml:space="preserve"> hráškovém </w:t>
      </w:r>
      <w:r>
        <w:rPr>
          <w:b w:val="false"/>
          <w:bCs w:val="false"/>
        </w:rPr>
        <w:t>rizo</w:t>
        <w:tab/>
        <w:t xml:space="preserve">tu, v menu nechybí ani </w:t>
      </w:r>
      <w:r>
        <w:rPr>
          <w:b/>
          <w:bCs/>
        </w:rPr>
        <w:t>rybí</w:t>
      </w:r>
      <w:r>
        <w:rPr>
          <w:b w:val="false"/>
          <w:bCs w:val="false"/>
        </w:rPr>
        <w:t xml:space="preserve"> pokrmy. Vše připravujeme z </w:t>
      </w:r>
      <w:r>
        <w:rPr>
          <w:b/>
          <w:bCs/>
        </w:rPr>
        <w:t xml:space="preserve">vlastních </w:t>
      </w:r>
      <w:r>
        <w:rPr>
          <w:b w:val="false"/>
          <w:bCs w:val="false"/>
        </w:rPr>
        <w:t xml:space="preserve">surovin od </w:t>
      </w:r>
      <w:r>
        <w:rPr>
          <w:b/>
          <w:bCs/>
        </w:rPr>
        <w:t xml:space="preserve">nejlepších blízkých </w:t>
      </w:r>
      <w:r>
        <w:rPr>
          <w:b w:val="false"/>
          <w:bCs w:val="false"/>
        </w:rPr>
        <w:t xml:space="preserve">dodavatelů. </w:t>
      </w:r>
      <w:r>
        <w:rPr>
          <w:b/>
          <w:bCs/>
        </w:rPr>
        <w:t>Chutné</w:t>
      </w:r>
      <w:r>
        <w:rPr>
          <w:b w:val="false"/>
          <w:bCs w:val="false"/>
        </w:rPr>
        <w:t xml:space="preserve"> jídlo skvěle doplní </w:t>
      </w:r>
      <w:r>
        <w:rPr>
          <w:b/>
          <w:bCs/>
        </w:rPr>
        <w:t>moravská</w:t>
      </w:r>
      <w:r>
        <w:rPr>
          <w:b w:val="false"/>
          <w:bCs w:val="false"/>
        </w:rPr>
        <w:t xml:space="preserve"> vína nebo</w:t>
      </w:r>
      <w:r>
        <w:rPr>
          <w:b/>
          <w:bCs/>
        </w:rPr>
        <w:t xml:space="preserve"> čerstvé </w:t>
      </w:r>
      <w:r>
        <w:rPr>
          <w:b w:val="false"/>
          <w:bCs w:val="false"/>
        </w:rPr>
        <w:t xml:space="preserve">pivo. </w:t>
      </w:r>
      <w:r>
        <w:rPr>
          <w:b/>
          <w:bCs/>
        </w:rPr>
        <w:t xml:space="preserve">Nový stylový </w:t>
      </w:r>
      <w:r>
        <w:rPr>
          <w:b w:val="false"/>
          <w:bCs w:val="false"/>
        </w:rPr>
        <w:t xml:space="preserve">vchod z </w:t>
      </w:r>
      <w:r>
        <w:rPr>
          <w:b/>
          <w:bCs/>
        </w:rPr>
        <w:t xml:space="preserve">Masarykovy </w:t>
      </w:r>
      <w:r>
        <w:rPr>
          <w:b w:val="false"/>
          <w:bCs w:val="false"/>
        </w:rPr>
        <w:t xml:space="preserve">ulice. Informace na </w:t>
      </w:r>
      <w:hyperlink r:id="rId2">
        <w:r>
          <w:rPr>
            <w:rStyle w:val="InternetLink"/>
            <w:b w:val="false"/>
            <w:bCs w:val="false"/>
          </w:rPr>
          <w:t>www.vivo.cz</w:t>
        </w:r>
      </w:hyperlink>
      <w:r>
        <w:rPr>
          <w:b w:val="false"/>
          <w:bCs w:val="false"/>
        </w:rPr>
        <w:t>.</w:t>
      </w:r>
    </w:p>
    <w:p>
      <w:pPr>
        <w:pStyle w:val="TextBody"/>
        <w:spacing w:before="0" w:after="140"/>
        <w:jc w:val="center"/>
        <w:rPr/>
      </w:pPr>
      <w:r>
        <w:rPr>
          <w:b w:val="false"/>
          <w:bCs w:val="false"/>
        </w:rPr>
        <w:t>17. 1. 2024</w:t>
      </w:r>
    </w:p>
    <w:p>
      <w:pPr>
        <w:pStyle w:val="TextBody"/>
        <w:spacing w:before="0" w:after="140"/>
        <w:jc w:val="both"/>
        <w:rPr/>
      </w:pPr>
      <w:r>
        <w:rPr>
          <w:b w:val="false"/>
          <w:bCs w:val="false"/>
        </w:rPr>
        <w:t xml:space="preserve">Občas se chová jako dítě a hodně se předvádí, avšak s ním jde vést i rozumná debata. Rozumu pochytal tak akorát, s humorem je to trochu horší. Rád pomáhá ostatním a je otevřený jakýmkoliv skupinovým projektům, ale zároveň je i rád sám se svými myšlenkami. Přijde mi jako velice upřímný člověk, který nemá strach prosadit svůj názor, i když je občas jediný člověk, který tento názor prosazuje. </w:t>
      </w:r>
    </w:p>
    <w:p>
      <w:pPr>
        <w:pStyle w:val="TextBody"/>
        <w:spacing w:before="0" w:after="140"/>
        <w:jc w:val="both"/>
        <w:rPr>
          <w:color w:val="EEEEEE"/>
        </w:rPr>
      </w:pPr>
      <w:r>
        <w:rPr>
          <w:b w:val="false"/>
          <w:bCs w:val="false"/>
          <w:color w:val="EEEEEE"/>
        </w:rPr>
        <w:t>Robík Bobík</w:t>
      </w:r>
      <w:r>
        <w:br w:type="page"/>
      </w:r>
    </w:p>
    <w:p>
      <w:pPr>
        <w:pStyle w:val="TextBody"/>
        <w:spacing w:before="0" w:after="140"/>
        <w:jc w:val="both"/>
        <w:rPr/>
      </w:pPr>
      <w:r>
        <w:rPr/>
      </w:r>
    </w:p>
    <w:p>
      <w:pPr>
        <w:pStyle w:val="TextBody"/>
        <w:spacing w:before="0" w:after="140"/>
        <w:jc w:val="center"/>
        <w:rPr/>
      </w:pPr>
      <w:r>
        <w:rPr/>
        <w:t>31. 1. 2024</w:t>
      </w:r>
    </w:p>
    <w:p>
      <w:pPr>
        <w:pStyle w:val="Heading1"/>
        <w:numPr>
          <w:ilvl w:val="0"/>
          <w:numId w:val="2"/>
        </w:numPr>
        <w:jc w:val="center"/>
        <w:rPr/>
      </w:pPr>
      <w:r>
        <w:rPr/>
        <w:t>Psaní velkých písmen</w:t>
      </w:r>
    </w:p>
    <w:p>
      <w:pPr>
        <w:pStyle w:val="TextBody"/>
        <w:numPr>
          <w:ilvl w:val="0"/>
          <w:numId w:val="6"/>
        </w:numPr>
        <w:jc w:val="left"/>
        <w:rPr/>
      </w:pPr>
      <w:r>
        <w:rPr/>
        <w:t>Vlastní jména – rodná, přezdívky, přijmení</w:t>
      </w:r>
    </w:p>
    <w:p>
      <w:pPr>
        <w:pStyle w:val="TextBody"/>
        <w:numPr>
          <w:ilvl w:val="0"/>
          <w:numId w:val="6"/>
        </w:numPr>
        <w:jc w:val="left"/>
        <w:rPr/>
      </w:pPr>
      <w:r>
        <w:rPr/>
        <w:t>Významný jev, úcta</w:t>
      </w:r>
    </w:p>
    <w:p>
      <w:pPr>
        <w:pStyle w:val="TextBody"/>
        <w:numPr>
          <w:ilvl w:val="0"/>
          <w:numId w:val="6"/>
        </w:numPr>
        <w:jc w:val="left"/>
        <w:rPr/>
      </w:pPr>
      <w:r>
        <w:rPr/>
        <w:t>Začátek věty, přímá řeč, nadpisy</w:t>
      </w:r>
    </w:p>
    <w:p>
      <w:pPr>
        <w:pStyle w:val="TextBody"/>
        <w:numPr>
          <w:ilvl w:val="0"/>
          <w:numId w:val="6"/>
        </w:numPr>
        <w:spacing w:before="0" w:after="140"/>
        <w:jc w:val="left"/>
        <w:rPr/>
      </w:pPr>
      <w:r>
        <w:rPr/>
        <w:t>Zkratky, značky</w:t>
      </w:r>
    </w:p>
    <w:p>
      <w:pPr>
        <w:pStyle w:val="TextBody"/>
        <w:numPr>
          <w:ilvl w:val="0"/>
          <w:numId w:val="6"/>
        </w:numPr>
        <w:spacing w:before="0" w:after="140"/>
        <w:jc w:val="left"/>
        <w:rPr/>
      </w:pPr>
      <w:r>
        <w:rPr/>
        <w:t>Zeměpisné názvy, domy, ulice</w:t>
      </w:r>
    </w:p>
    <w:p>
      <w:pPr>
        <w:pStyle w:val="TextBody"/>
        <w:spacing w:before="0" w:after="140"/>
        <w:jc w:val="center"/>
        <w:rPr/>
      </w:pPr>
      <w:r>
        <w:rPr/>
        <w:t>2024-05-16</w:t>
      </w:r>
    </w:p>
    <w:p>
      <w:pPr>
        <w:pStyle w:val="TextBody"/>
        <w:spacing w:before="0" w:after="140"/>
        <w:jc w:val="center"/>
        <w:rPr/>
      </w:pPr>
      <w:r>
        <w:rPr/>
        <w:t>Betonová džungle v její plné kráse, všude se rozléhá záře různobarevných neonů, jenž svítí jako oči dítěte, které zrovna našlo pod stromečkem to po čem celý rok toužilo. Na každém rohu obchůdek, nebo bistro plné lidí. Všude rachot aut, lidské hlasy, hudba pouličních umělců a mnoho dalších zvuků, které byste si dokázali představit. Směsice vůní z různých restaurací se rozléhají po celém areálu jako potopa. Stojím zde beze slov, toto místo je úžasné jako ten pocit, jenž dostanete potom, co nepropadnete na konci roku z fyziky.</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cs-CZ"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cs-CZ" w:eastAsia="en-US" w:bidi="ar-SA"/>
      <w14:ligatures w14:val="standardContextual"/>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vivo.cz/"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Application>LibreOffice/7.5.5.2$Linux_X86_64 LibreOffice_project/50$Build-2</Application>
  <AppVersion>15.0000</AppVersion>
  <Pages>3</Pages>
  <Words>520</Words>
  <Characters>2824</Characters>
  <CharactersWithSpaces>3294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2023-09-15T11:19:00Z</dcterms:created>
  <dc:creator>Samuel Černý</dc:creator>
  <dc:description/>
  <dc:language>en-US</dc:language>
  <cp:lastModifiedBy/>
  <dcterms:modified xsi:type="dcterms:W3CDTF">2024-05-16T12:15:14Z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