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eorgia" w:cs="Georgia" w:eastAsia="Georgia" w:hAnsi="Georgia"/>
          <w:b/>
          <w:bCs/>
          <w:sz w:val="44"/>
          <w:szCs w:val="44"/>
        </w:rPr>
        <w:t xml:space="preserve">Quarterly Operations Review</w:t>
      </w:r>
    </w:p>
    <w:p>
      <w:pPr>
        <w:pStyle w:val="Heading1"/>
        <w:keepNext/>
        <w:keepLines/>
      </w:pPr>
      <w:r>
        <w:t xml:space="preserve">1. Overview</w:t>
      </w:r>
    </w:p>
    <w:p>
      <w:pPr>
        <w:spacing w:after="160" w:line="259"/>
      </w:pPr>
      <w:r>
        <w:t xml:space="preserve">Reduce churn among small accounts, expand the partner programme and finish the migration of the remaining legacy services before the end of the financial year. Hiring is on plan, with eleven of fourteen roles filled and the remainder in final interviews. Security completed the annual penetration test with no critical findings and three medium ones, all already scheduled for remediation. The median first reply is now under forty minutes, and the backlog of open tickets has fallen by almost a third since the start of the year.</w:t>
      </w:r>
    </w:p>
    <w:p>
      <w:pPr>
        <w:spacing w:after="160" w:line="259"/>
      </w:pPr>
      <w:r>
        <w:t xml:space="preserve">Revenue grew steadily across all three regions, although the northern region trailed expectations because two large renewals slipped into the following quarter. The median first reply is now under forty minutes, and the backlog of open tickets has fallen by almost a third since the start of the year. Engineering shipped the redesigned onboarding flow, the offline mode for mobile and a long list of smaller fixes. Costs were within two percent of budget, helped by lower cloud spending after the storage clean-up. Reduce churn among small accounts, expand the partner programme and finish the migration of the remaining legacy services before the end of the financial year.</w:t>
      </w:r>
    </w:p>
    <w:p>
      <w:pPr>
        <w:spacing w:after="160" w:line="259"/>
      </w:pPr>
      <w:r>
        <w:t xml:space="preserve">Two incidents affected customers; both were resolved within the agreed window and a full write-up is attached. Partner-sourced revenue reached its highest share yet, driven by the two new reseller agreements signed in March. Looking ahead, the priorities are unchanged. Security completed the annual penetration test with no critical findings and three medium ones, all already scheduled for remediation. A detailed breakdown by team, region and product line follows in the appendix, together with the assumptions behind each forecast. Revenue grew steadily across all three regions, although the northern region trailed expectations because two large renewals slipped into the following quarter.</w:t>
      </w:r>
    </w:p>
    <w:p>
      <w:pPr>
        <w:spacing w:after="160" w:line="259"/>
      </w:pPr>
      <w:r>
        <w:t xml:space="preserve">Customer satisfaction held at 4.6 out of 5 for the third consecutive quarter, with onboarding the most improved area. Partner-sourced revenue reached its highest share yet, driven by the two new reseller agreements signed in March. Looking ahead, the priorities are unchanged.</w:t>
      </w:r>
    </w:p>
    <w:p>
      <w:pPr>
        <w:pStyle w:val="Heading1"/>
        <w:keepNext/>
        <w:keepLines/>
      </w:pPr>
      <w:r>
        <w:t xml:space="preserve">2. Revenue</w:t>
      </w:r>
    </w:p>
    <w:p>
      <w:pPr>
        <w:spacing w:after="160" w:line="259"/>
      </w:pPr>
      <w:r>
        <w:t xml:space="preserve">Revenue grew steadily across all three regions, although the northern region trailed expectations because two large renewals slipped into the following quarter. Security completed the annual penetration test with no critical findings and three medium ones, all already scheduled for remediation. Revenue grew steadily across all three regions, although the northern region trailed expectations because two large renewals slipped into the following quarter. The board asked for a clearer view of pipeline coverage, so the next report will include weighted and unweighted figures side by side.</w:t>
      </w:r>
    </w:p>
    <w:p>
      <w:pPr>
        <w:spacing w:after="160" w:line="259"/>
      </w:pPr>
      <w:r>
        <w:t xml:space="preserve">Customer satisfaction held at 4.6 out of 5 for the third consecutive quarter, with onboarding the most improved area. A detailed breakdown by team, region and product line follows in the appendix, together with the assumptions behind each forecast. Revenue grew steadily across all three regions, although the northern region trailed expectations because two large renewals slipped into the following quarter. Partner-sourced revenue reached its highest share yet, driven by the two new reseller agreements signed in March. Customer satisfaction held at 4.6 out of 5 for the third consecutive quarter, with onboarding the most improved area. Customer satisfaction held at 4.6 out of 5 for the third consecutive quarter, with onboarding the most improved area.</w:t>
      </w:r>
    </w:p>
    <w:p>
      <w:pPr>
        <w:spacing w:after="160" w:line="259"/>
      </w:pPr>
      <w:r>
        <w:t xml:space="preserve">Partner-sourced revenue reached its highest share yet, driven by the two new reseller agreements signed in March. Partner-sourced revenue reached its highest share yet, driven by the two new reseller agreements signed in March. Revenue grew steadily across all three regions, although the northern region trailed expectations because two large renewals slipped into the following quarter. The board asked for a clearer view of pipeline coverage, so the next report will include weighted and unweighted figures side by side. Looking ahead, the priorities are unchanged. Customer satisfaction held at 4.6 out of 5 for the third consecutive quarter, with onboarding the most improved area.</w:t>
      </w:r>
    </w:p>
    <w:p>
      <w:pPr>
        <w:spacing w:after="160" w:line="259"/>
      </w:pPr>
      <w:r>
        <w:t xml:space="preserve">A detailed breakdown by team, region and product line follows in the appendix, together with the assumptions behind each forecast.</w:t>
      </w:r>
    </w:p>
    <w:p>
      <w:pPr>
        <w:pStyle w:val="Heading1"/>
        <w:keepNext/>
        <w:keepLines/>
      </w:pPr>
      <w:r>
        <w:t xml:space="preserve">3. Operations</w:t>
      </w:r>
    </w:p>
    <w:p>
      <w:pPr>
        <w:spacing w:after="160" w:line="259"/>
      </w:pPr>
      <w:r>
        <w:t xml:space="preserve">Two incidents affected customers; both were resolved within the agreed window and a full write-up is attached. The board asked for a clearer view of pipeline coverage, so the next report will include weighted and unweighted figures side by side. Reduce churn among small accounts, expand the partner programme and finish the migration of the remaining legacy services before the end of the financial year.</w:t>
      </w:r>
    </w:p>
    <w:p>
      <w:pPr>
        <w:spacing w:after="160" w:line="259"/>
      </w:pPr>
      <w:r>
        <w:t xml:space="preserve">Engineering shipped the redesigned onboarding flow, the offline mode for mobile and a long list of smaller fixes. Hiring is on plan, with eleven of fourteen roles filled and the remainder in final interviews. Hiring is on plan, with eleven of fourteen roles filled and the remainder in final interviews.</w:t>
      </w:r>
    </w:p>
    <w:p>
      <w:pPr>
        <w:spacing w:after="160" w:line="259"/>
      </w:pPr>
      <w:r>
        <w:t xml:space="preserve">The median first reply is now under forty minutes, and the backlog of open tickets has fallen by almost a third since the start of the year. Two incidents affected customers; both were resolved within the agreed window and a full write-up is attached. A detailed breakdown by team, region and product line follows in the appendix, together with the assumptions behind each forecast. Partner-sourced revenue reached its highest share yet, driven by the two new reseller agreements signed in March.</w:t>
      </w:r>
    </w:p>
    <w:p>
      <w:pPr>
        <w:spacing w:after="160" w:line="259"/>
      </w:pPr>
      <w:r>
        <w:t xml:space="preserve">The median first reply is now under forty minutes, and the backlog of open tickets has fallen by almost a third since the start of the year. Revenue grew steadily across all three regions, although the northern region trailed expectations because two large renewals slipped into the following quarter.</w:t>
      </w:r>
    </w:p>
    <w:p>
      <w:pPr>
        <w:pStyle w:val="ListParagraph"/>
        <w:numPr>
          <w:ilvl w:val="0"/>
          <w:numId w:val="2"/>
        </w:numPr>
        <w:spacing w:after="60" w:line="259"/>
      </w:pPr>
      <w:r>
        <w:t xml:space="preserve">Hiring is on plan, with eleven of fourteen roles filled and the remainder in final interviews.</w:t>
      </w:r>
    </w:p>
    <w:p>
      <w:pPr>
        <w:pStyle w:val="ListParagraph"/>
        <w:numPr>
          <w:ilvl w:val="0"/>
          <w:numId w:val="2"/>
        </w:numPr>
        <w:spacing w:after="60" w:line="259"/>
      </w:pPr>
      <w:r>
        <w:t xml:space="preserve">The median first reply is now under forty minutes, and the backlog of open tickets has fallen by almost a third since the start of the year.</w:t>
      </w:r>
    </w:p>
    <w:p>
      <w:pPr>
        <w:pStyle w:val="ListParagraph"/>
        <w:numPr>
          <w:ilvl w:val="0"/>
          <w:numId w:val="2"/>
        </w:numPr>
        <w:spacing w:after="60" w:line="259"/>
      </w:pPr>
      <w:r>
        <w:t xml:space="preserve">The board asked for a clearer view of pipeline coverage, so the next report will include weighted and unweighted figures side by side.</w:t>
      </w:r>
    </w:p>
    <w:p>
      <w:pPr>
        <w:pStyle w:val="ListParagraph"/>
        <w:numPr>
          <w:ilvl w:val="0"/>
          <w:numId w:val="2"/>
        </w:numPr>
        <w:spacing w:after="60" w:line="259"/>
      </w:pPr>
      <w:r>
        <w:t xml:space="preserve">Revenue grew steadily across all three regions, although the northern region trailed expectations because two large renewals slipped into the following quarter.</w:t>
      </w:r>
    </w:p>
    <w:p>
      <w:pPr>
        <w:pStyle w:val="ListParagraph"/>
        <w:numPr>
          <w:ilvl w:val="0"/>
          <w:numId w:val="2"/>
        </w:numPr>
        <w:spacing w:after="60" w:line="259"/>
      </w:pPr>
      <w:r>
        <w:t xml:space="preserve">Engineering shipped the redesigned onboarding flow, the offline mode for mobile and a long list of smaller fixes.</w:t>
      </w:r>
    </w:p>
    <w:p>
      <w:r>
        <w:br w:type="page"/>
      </w:r>
    </w:p>
    <w:p>
      <w:pPr>
        <w:spacing w:after="160" w:line="259"/>
      </w:pPr>
      <w:r>
        <w:t xml:space="preserve">Content after a manual page break: it starts a fresh page. Security completed the annual penetration test with no critical findings and three medium ones, all already scheduled for remediation.</w:t>
      </w:r>
    </w:p>
    <w:p>
      <w:pPr>
        <w:pStyle w:val="Heading1"/>
        <w:keepNext/>
        <w:keepLines/>
      </w:pPr>
      <w:r>
        <w:t xml:space="preserve">4. Engineering</w:t>
      </w:r>
    </w:p>
    <w:p>
      <w:pPr>
        <w:spacing w:after="160" w:line="259"/>
      </w:pPr>
      <w:r>
        <w:t xml:space="preserve">Two incidents affected customers; both were resolved within the agreed window and a full write-up is attached. The median first reply is now under forty minutes, and the backlog of open tickets has fallen by almost a third since the start of the year. Costs were within two percent of budget, helped by lower cloud spending after the storage clean-up.</w:t>
      </w:r>
    </w:p>
    <w:p>
      <w:pPr>
        <w:spacing w:after="160" w:line="259"/>
      </w:pPr>
      <w:r>
        <w:t xml:space="preserve">Two incidents affected customers; both were resolved within the agreed window and a full write-up is attached. Two incidents affected customers; both were resolved within the agreed window and a full write-up is attached.</w:t>
      </w:r>
    </w:p>
    <w:p>
      <w:pPr>
        <w:spacing w:after="160" w:line="259"/>
      </w:pPr>
      <w:r>
        <w:t xml:space="preserve">Two incidents affected customers; both were resolved within the agreed window and a full write-up is attached.</w:t>
      </w:r>
    </w:p>
    <w:p>
      <w:pPr>
        <w:spacing w:after="160" w:line="259"/>
      </w:pPr>
      <w:r>
        <w:t xml:space="preserve">Costs were within two percent of budget, helped by lower cloud spending after the storage clean-up. Revenue grew steadily across all three regions, although the northern region trailed expectations because two large renewals slipped into the following quarter. The median first reply is now under forty minutes, and the backlog of open tickets has fallen by almost a third since the start of the year. Reduce churn among small accounts, expand the partner programme and finish the migration of the remaining legacy services before the end of the financial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shd w:fill="D9E2F3" w:val="clear"/>
            <w:tcMar>
              <w:top w:type="dxa" w:w="60"/>
              <w:left w:type="dxa" w:w="100"/>
              <w:bottom w:type="dxa" w:w="60"/>
              <w:right w:type="dxa" w:w="100"/>
            </w:tcMar>
          </w:tcPr>
          <w:p>
            <w:r>
              <w:rPr>
                <w:b/>
                <w:bCs/>
              </w:rPr>
              <w:t xml:space="preserve">#</w:t>
            </w:r>
          </w:p>
        </w:tc>
        <w:tc>
          <w:tcPr>
            <w:tcW w:type="dxa" w:w="3600"/>
            <w:shd w:fill="D9E2F3" w:val="clear"/>
            <w:tcMar>
              <w:top w:type="dxa" w:w="60"/>
              <w:left w:type="dxa" w:w="100"/>
              <w:bottom w:type="dxa" w:w="60"/>
              <w:right w:type="dxa" w:w="100"/>
            </w:tcMar>
          </w:tcPr>
          <w:p>
            <w:r>
              <w:rPr>
                <w:b/>
                <w:bCs/>
              </w:rPr>
              <w:t xml:space="preserve">Item</w:t>
            </w:r>
          </w:p>
        </w:tc>
        <w:tc>
          <w:tcPr>
            <w:tcW w:type="dxa" w:w="4860"/>
            <w:shd w:fill="D9E2F3" w:val="clear"/>
            <w:tcMar>
              <w:top w:type="dxa" w:w="60"/>
              <w:left w:type="dxa" w:w="100"/>
              <w:bottom w:type="dxa" w:w="60"/>
              <w:right w:type="dxa" w:w="100"/>
            </w:tcMar>
          </w:tcPr>
          <w:p>
            <w:r>
              <w:rPr>
                <w:b/>
                <w:bCs/>
              </w:rPr>
              <w:t xml:space="preserve">Notes</w:t>
            </w:r>
          </w:p>
        </w:tc>
      </w:tr>
      <w:tr>
        <w:tc>
          <w:tcPr>
            <w:tcW w:type="dxa" w:w="900"/>
            <w:tcMar>
              <w:top w:type="dxa" w:w="60"/>
              <w:left w:type="dxa" w:w="100"/>
              <w:bottom w:type="dxa" w:w="60"/>
              <w:right w:type="dxa" w:w="100"/>
            </w:tcMar>
          </w:tcPr>
          <w:p>
            <w:r>
              <w:t xml:space="preserve">1</w:t>
            </w:r>
          </w:p>
        </w:tc>
        <w:tc>
          <w:tcPr>
            <w:tcW w:type="dxa" w:w="3600"/>
            <w:tcMar>
              <w:top w:type="dxa" w:w="60"/>
              <w:left w:type="dxa" w:w="100"/>
              <w:bottom w:type="dxa" w:w="60"/>
              <w:right w:type="dxa" w:w="100"/>
            </w:tcMar>
          </w:tcPr>
          <w:p>
            <w:r>
              <w:t xml:space="preserve">Partner-sourced revenue reached its highest share yet</w:t>
            </w:r>
          </w:p>
        </w:tc>
        <w:tc>
          <w:tcPr>
            <w:tcW w:type="dxa" w:w="4860"/>
            <w:tcMar>
              <w:top w:type="dxa" w:w="60"/>
              <w:left w:type="dxa" w:w="100"/>
              <w:bottom w:type="dxa" w:w="60"/>
              <w:right w:type="dxa" w:w="100"/>
            </w:tcMar>
          </w:tcPr>
          <w:p>
            <w:r>
              <w:t xml:space="preserve">Revenue grew steadily across all three regions, although the northern region trailed expectations because two large renewals slipped into the following quarter. Reduce churn among small accounts, expand the partner programme and finish the</w:t>
            </w:r>
          </w:p>
        </w:tc>
      </w:tr>
      <w:tr>
        <w:tc>
          <w:tcPr>
            <w:tcW w:type="dxa" w:w="900"/>
            <w:tcMar>
              <w:top w:type="dxa" w:w="60"/>
              <w:left w:type="dxa" w:w="100"/>
              <w:bottom w:type="dxa" w:w="60"/>
              <w:right w:type="dxa" w:w="100"/>
            </w:tcMar>
          </w:tcPr>
          <w:p>
            <w:r>
              <w:t xml:space="preserve">2</w:t>
            </w:r>
          </w:p>
        </w:tc>
        <w:tc>
          <w:tcPr>
            <w:tcW w:type="dxa" w:w="3600"/>
            <w:tcMar>
              <w:top w:type="dxa" w:w="60"/>
              <w:left w:type="dxa" w:w="100"/>
              <w:bottom w:type="dxa" w:w="60"/>
              <w:right w:type="dxa" w:w="100"/>
            </w:tcMar>
          </w:tcPr>
          <w:p>
            <w:r>
              <w:t xml:space="preserve">A detailed breakdown by team</w:t>
            </w:r>
          </w:p>
        </w:tc>
        <w:tc>
          <w:tcPr>
            <w:tcW w:type="dxa" w:w="4860"/>
            <w:tcMar>
              <w:top w:type="dxa" w:w="60"/>
              <w:left w:type="dxa" w:w="100"/>
              <w:bottom w:type="dxa" w:w="60"/>
              <w:right w:type="dxa" w:w="100"/>
            </w:tcMar>
          </w:tcPr>
          <w:p>
            <w:r>
              <w:t xml:space="preserve">Revenue grew steadily across all three regions, although the northern region</w:t>
            </w:r>
          </w:p>
        </w:tc>
      </w:tr>
      <w:tr>
        <w:tc>
          <w:tcPr>
            <w:tcW w:type="dxa" w:w="900"/>
            <w:tcMar>
              <w:top w:type="dxa" w:w="60"/>
              <w:left w:type="dxa" w:w="100"/>
              <w:bottom w:type="dxa" w:w="60"/>
              <w:right w:type="dxa" w:w="100"/>
            </w:tcMar>
          </w:tcPr>
          <w:p>
            <w:r>
              <w:t xml:space="preserve">3</w:t>
            </w:r>
          </w:p>
        </w:tc>
        <w:tc>
          <w:tcPr>
            <w:tcW w:type="dxa" w:w="3600"/>
            <w:tcMar>
              <w:top w:type="dxa" w:w="60"/>
              <w:left w:type="dxa" w:w="100"/>
              <w:bottom w:type="dxa" w:w="60"/>
              <w:right w:type="dxa" w:w="100"/>
            </w:tcMar>
          </w:tcPr>
          <w:p>
            <w:r>
              <w:t xml:space="preserve">A detailed breakdown by team</w:t>
            </w:r>
          </w:p>
        </w:tc>
        <w:tc>
          <w:tcPr>
            <w:tcW w:type="dxa" w:w="4860"/>
            <w:tcMar>
              <w:top w:type="dxa" w:w="60"/>
              <w:left w:type="dxa" w:w="100"/>
              <w:bottom w:type="dxa" w:w="60"/>
              <w:right w:type="dxa" w:w="100"/>
            </w:tcMar>
          </w:tcPr>
          <w:p>
            <w:r>
              <w:t xml:space="preserve">A detailed breakdown by team, region and product line follows in the appendix, together wit</w:t>
            </w:r>
          </w:p>
        </w:tc>
      </w:tr>
      <w:tr>
        <w:tc>
          <w:tcPr>
            <w:tcW w:type="dxa" w:w="900"/>
            <w:tcMar>
              <w:top w:type="dxa" w:w="60"/>
              <w:left w:type="dxa" w:w="100"/>
              <w:bottom w:type="dxa" w:w="60"/>
              <w:right w:type="dxa" w:w="100"/>
            </w:tcMar>
          </w:tcPr>
          <w:p>
            <w:r>
              <w:t xml:space="preserve">4</w:t>
            </w:r>
          </w:p>
        </w:tc>
        <w:tc>
          <w:tcPr>
            <w:tcW w:type="dxa" w:w="3600"/>
            <w:tcMar>
              <w:top w:type="dxa" w:w="60"/>
              <w:left w:type="dxa" w:w="100"/>
              <w:bottom w:type="dxa" w:w="60"/>
              <w:right w:type="dxa" w:w="100"/>
            </w:tcMar>
          </w:tcPr>
          <w:p>
            <w:r>
              <w:t xml:space="preserve">Reduce churn among small accounts</w:t>
            </w:r>
          </w:p>
        </w:tc>
        <w:tc>
          <w:tcPr>
            <w:tcW w:type="dxa" w:w="4860"/>
            <w:tcMar>
              <w:top w:type="dxa" w:w="60"/>
              <w:left w:type="dxa" w:w="100"/>
              <w:bottom w:type="dxa" w:w="60"/>
              <w:right w:type="dxa" w:w="100"/>
            </w:tcMar>
          </w:tcPr>
          <w:p>
            <w:r>
              <w:t xml:space="preserve">Security completed the annual penetration test with no critical findings and three medium ones, all already scheduled for remediat</w:t>
            </w:r>
          </w:p>
        </w:tc>
      </w:tr>
      <w:tr>
        <w:tc>
          <w:tcPr>
            <w:tcW w:type="dxa" w:w="900"/>
            <w:tcMar>
              <w:top w:type="dxa" w:w="60"/>
              <w:left w:type="dxa" w:w="100"/>
              <w:bottom w:type="dxa" w:w="60"/>
              <w:right w:type="dxa" w:w="100"/>
            </w:tcMar>
          </w:tcPr>
          <w:p>
            <w:r>
              <w:t xml:space="preserve">5</w:t>
            </w:r>
          </w:p>
        </w:tc>
        <w:tc>
          <w:tcPr>
            <w:tcW w:type="dxa" w:w="3600"/>
            <w:tcMar>
              <w:top w:type="dxa" w:w="60"/>
              <w:left w:type="dxa" w:w="100"/>
              <w:bottom w:type="dxa" w:w="60"/>
              <w:right w:type="dxa" w:w="100"/>
            </w:tcMar>
          </w:tcPr>
          <w:p>
            <w:r>
              <w:t xml:space="preserve">Customer satisfaction held at 4.6 out of 5 for the third consecutive quarter</w:t>
            </w:r>
          </w:p>
        </w:tc>
        <w:tc>
          <w:tcPr>
            <w:tcW w:type="dxa" w:w="4860"/>
            <w:tcMar>
              <w:top w:type="dxa" w:w="60"/>
              <w:left w:type="dxa" w:w="100"/>
              <w:bottom w:type="dxa" w:w="60"/>
              <w:right w:type="dxa" w:w="100"/>
            </w:tcMar>
          </w:tcPr>
          <w:p>
            <w:r>
              <w:t xml:space="preserve">Looking ahead, the priorities are unchanged. Security completed the annual penetration test with no critical findings and three medium ones, all already schedule</w:t>
            </w:r>
          </w:p>
        </w:tc>
      </w:tr>
      <w:tr>
        <w:tc>
          <w:tcPr>
            <w:tcW w:type="dxa" w:w="900"/>
            <w:tcMar>
              <w:top w:type="dxa" w:w="60"/>
              <w:left w:type="dxa" w:w="100"/>
              <w:bottom w:type="dxa" w:w="60"/>
              <w:right w:type="dxa" w:w="100"/>
            </w:tcMar>
          </w:tcPr>
          <w:p>
            <w:r>
              <w:t xml:space="preserve">6</w:t>
            </w:r>
          </w:p>
        </w:tc>
        <w:tc>
          <w:tcPr>
            <w:tcW w:type="dxa" w:w="3600"/>
            <w:tcMar>
              <w:top w:type="dxa" w:w="60"/>
              <w:left w:type="dxa" w:w="100"/>
              <w:bottom w:type="dxa" w:w="60"/>
              <w:right w:type="dxa" w:w="100"/>
            </w:tcMar>
          </w:tcPr>
          <w:p>
            <w:r>
              <w:t xml:space="preserve">Looking ahead</w:t>
            </w:r>
          </w:p>
        </w:tc>
        <w:tc>
          <w:tcPr>
            <w:tcW w:type="dxa" w:w="4860"/>
            <w:tcMar>
              <w:top w:type="dxa" w:w="60"/>
              <w:left w:type="dxa" w:w="100"/>
              <w:bottom w:type="dxa" w:w="60"/>
              <w:right w:type="dxa" w:w="100"/>
            </w:tcMar>
          </w:tcPr>
          <w:p>
            <w:r>
              <w:t xml:space="preserve">Security completed the annual penetration test with no critical findings and three medium ones, all already scheduled for remediation. Costs were within two percent of budget, helped by lo</w:t>
            </w:r>
          </w:p>
        </w:tc>
      </w:tr>
      <w:tr>
        <w:tc>
          <w:tcPr>
            <w:tcW w:type="dxa" w:w="900"/>
            <w:tcMar>
              <w:top w:type="dxa" w:w="60"/>
              <w:left w:type="dxa" w:w="100"/>
              <w:bottom w:type="dxa" w:w="60"/>
              <w:right w:type="dxa" w:w="100"/>
            </w:tcMar>
          </w:tcPr>
          <w:p>
            <w:r>
              <w:t xml:space="preserve">7</w:t>
            </w:r>
          </w:p>
        </w:tc>
        <w:tc>
          <w:tcPr>
            <w:tcW w:type="dxa" w:w="3600"/>
            <w:tcMar>
              <w:top w:type="dxa" w:w="60"/>
              <w:left w:type="dxa" w:w="100"/>
              <w:bottom w:type="dxa" w:w="60"/>
              <w:right w:type="dxa" w:w="100"/>
            </w:tcMar>
          </w:tcPr>
          <w:p>
            <w:r>
              <w:t xml:space="preserve">Engineering shipped the redesigned onboarding flow</w:t>
            </w:r>
          </w:p>
        </w:tc>
        <w:tc>
          <w:tcPr>
            <w:tcW w:type="dxa" w:w="4860"/>
            <w:tcMar>
              <w:top w:type="dxa" w:w="60"/>
              <w:left w:type="dxa" w:w="100"/>
              <w:bottom w:type="dxa" w:w="60"/>
              <w:right w:type="dxa" w:w="100"/>
            </w:tcMar>
          </w:tcPr>
          <w:p>
            <w:r>
              <w:t xml:space="preserve">Costs were within two percent of budget, helped by lower cloud spending after the storage clean-up. Revenue grew steadily across all </w:t>
            </w:r>
          </w:p>
        </w:tc>
      </w:tr>
      <w:tr>
        <w:tc>
          <w:tcPr>
            <w:tcW w:type="dxa" w:w="900"/>
            <w:tcMar>
              <w:top w:type="dxa" w:w="60"/>
              <w:left w:type="dxa" w:w="100"/>
              <w:bottom w:type="dxa" w:w="60"/>
              <w:right w:type="dxa" w:w="100"/>
            </w:tcMar>
          </w:tcPr>
          <w:p>
            <w:r>
              <w:t xml:space="preserve">8</w:t>
            </w:r>
          </w:p>
        </w:tc>
        <w:tc>
          <w:tcPr>
            <w:tcW w:type="dxa" w:w="3600"/>
            <w:tcMar>
              <w:top w:type="dxa" w:w="60"/>
              <w:left w:type="dxa" w:w="100"/>
              <w:bottom w:type="dxa" w:w="60"/>
              <w:right w:type="dxa" w:w="100"/>
            </w:tcMar>
          </w:tcPr>
          <w:p>
            <w:r>
              <w:t xml:space="preserve">A detailed breakdown by team</w:t>
            </w:r>
          </w:p>
        </w:tc>
        <w:tc>
          <w:tcPr>
            <w:tcW w:type="dxa" w:w="4860"/>
            <w:tcMar>
              <w:top w:type="dxa" w:w="60"/>
              <w:left w:type="dxa" w:w="100"/>
              <w:bottom w:type="dxa" w:w="60"/>
              <w:right w:type="dxa" w:w="100"/>
            </w:tcMar>
          </w:tcPr>
          <w:p>
            <w:r>
              <w:t xml:space="preserve">Costs were within two percent of budget, helped by lower cloud spending after the storage clean-up. Security compl</w:t>
            </w:r>
          </w:p>
        </w:tc>
      </w:tr>
      <w:tr>
        <w:tc>
          <w:tcPr>
            <w:tcW w:type="dxa" w:w="900"/>
            <w:tcMar>
              <w:top w:type="dxa" w:w="60"/>
              <w:left w:type="dxa" w:w="100"/>
              <w:bottom w:type="dxa" w:w="60"/>
              <w:right w:type="dxa" w:w="100"/>
            </w:tcMar>
          </w:tcPr>
          <w:p>
            <w:r>
              <w:t xml:space="preserve">9</w:t>
            </w:r>
          </w:p>
        </w:tc>
        <w:tc>
          <w:tcPr>
            <w:tcW w:type="dxa" w:w="3600"/>
            <w:tcMar>
              <w:top w:type="dxa" w:w="60"/>
              <w:left w:type="dxa" w:w="100"/>
              <w:bottom w:type="dxa" w:w="60"/>
              <w:right w:type="dxa" w:w="100"/>
            </w:tcMar>
          </w:tcPr>
          <w:p>
            <w:r>
              <w:t xml:space="preserve">Customer satisfaction held at 4.6 out of 5 for the third consecutive quarter</w:t>
            </w:r>
          </w:p>
        </w:tc>
        <w:tc>
          <w:tcPr>
            <w:tcW w:type="dxa" w:w="4860"/>
            <w:tcMar>
              <w:top w:type="dxa" w:w="60"/>
              <w:left w:type="dxa" w:w="100"/>
              <w:bottom w:type="dxa" w:w="60"/>
              <w:right w:type="dxa" w:w="100"/>
            </w:tcMar>
          </w:tcPr>
          <w:p>
            <w:r>
              <w:t xml:space="preserve">Support response times improved after the new triage process went live. Reduce churn among small accounts, expand the partner programme and finish the migration of</w:t>
            </w:r>
          </w:p>
        </w:tc>
      </w:tr>
      <w:tr>
        <w:tc>
          <w:tcPr>
            <w:tcW w:type="dxa" w:w="900"/>
            <w:tcMar>
              <w:top w:type="dxa" w:w="60"/>
              <w:left w:type="dxa" w:w="100"/>
              <w:bottom w:type="dxa" w:w="60"/>
              <w:right w:type="dxa" w:w="100"/>
            </w:tcMar>
          </w:tcPr>
          <w:p>
            <w:r>
              <w:t xml:space="preserve">10</w:t>
            </w:r>
          </w:p>
        </w:tc>
        <w:tc>
          <w:tcPr>
            <w:tcW w:type="dxa" w:w="3600"/>
            <w:tcMar>
              <w:top w:type="dxa" w:w="60"/>
              <w:left w:type="dxa" w:w="100"/>
              <w:bottom w:type="dxa" w:w="60"/>
              <w:right w:type="dxa" w:w="100"/>
            </w:tcMar>
          </w:tcPr>
          <w:p>
            <w:r>
              <w:t xml:space="preserve">Security completed the annual penetration test with no critical findings and three medium ones</w:t>
            </w:r>
          </w:p>
        </w:tc>
        <w:tc>
          <w:tcPr>
            <w:tcW w:type="dxa" w:w="4860"/>
            <w:tcMar>
              <w:top w:type="dxa" w:w="60"/>
              <w:left w:type="dxa" w:w="100"/>
              <w:bottom w:type="dxa" w:w="60"/>
              <w:right w:type="dxa" w:w="100"/>
            </w:tcMar>
          </w:tcPr>
          <w:p>
            <w:r>
              <w:t xml:space="preserve">Engineering shipped the redesigned onboarding flow, the offline mode for mobile and a long list of smaller fixes. Costs were within two percent of budget, helped by lower cloud spending after the storage clean-up.</w:t>
            </w:r>
          </w:p>
        </w:tc>
      </w:tr>
      <w:tr>
        <w:tc>
          <w:tcPr>
            <w:tcW w:type="dxa" w:w="900"/>
            <w:tcMar>
              <w:top w:type="dxa" w:w="60"/>
              <w:left w:type="dxa" w:w="100"/>
              <w:bottom w:type="dxa" w:w="60"/>
              <w:right w:type="dxa" w:w="100"/>
            </w:tcMar>
          </w:tcPr>
          <w:p>
            <w:r>
              <w:t xml:space="preserve">11</w:t>
            </w:r>
          </w:p>
        </w:tc>
        <w:tc>
          <w:tcPr>
            <w:tcW w:type="dxa" w:w="3600"/>
            <w:tcMar>
              <w:top w:type="dxa" w:w="60"/>
              <w:left w:type="dxa" w:w="100"/>
              <w:bottom w:type="dxa" w:w="60"/>
              <w:right w:type="dxa" w:w="100"/>
            </w:tcMar>
          </w:tcPr>
          <w:p>
            <w:r>
              <w:t xml:space="preserve">The board asked for a clearer view of pipeline coverage</w:t>
            </w:r>
          </w:p>
        </w:tc>
        <w:tc>
          <w:tcPr>
            <w:tcW w:type="dxa" w:w="4860"/>
            <w:tcMar>
              <w:top w:type="dxa" w:w="60"/>
              <w:left w:type="dxa" w:w="100"/>
              <w:bottom w:type="dxa" w:w="60"/>
              <w:right w:type="dxa" w:w="100"/>
            </w:tcMar>
          </w:tcPr>
          <w:p>
            <w:r>
              <w:t xml:space="preserve">Partner-sourced revenue reached its highest share yet, driven by the two new reseller agreements signed in Mar</w:t>
            </w:r>
          </w:p>
        </w:tc>
      </w:tr>
      <w:tr>
        <w:tc>
          <w:tcPr>
            <w:tcW w:type="dxa" w:w="900"/>
            <w:tcMar>
              <w:top w:type="dxa" w:w="60"/>
              <w:left w:type="dxa" w:w="100"/>
              <w:bottom w:type="dxa" w:w="60"/>
              <w:right w:type="dxa" w:w="100"/>
            </w:tcMar>
          </w:tcPr>
          <w:p>
            <w:r>
              <w:t xml:space="preserve">12</w:t>
            </w:r>
          </w:p>
        </w:tc>
        <w:tc>
          <w:tcPr>
            <w:tcW w:type="dxa" w:w="3600"/>
            <w:tcMar>
              <w:top w:type="dxa" w:w="60"/>
              <w:left w:type="dxa" w:w="100"/>
              <w:bottom w:type="dxa" w:w="60"/>
              <w:right w:type="dxa" w:w="100"/>
            </w:tcMar>
          </w:tcPr>
          <w:p>
            <w:r>
              <w:t xml:space="preserve">Partner-sourced revenue reached its highest share yet</w:t>
            </w:r>
          </w:p>
        </w:tc>
        <w:tc>
          <w:tcPr>
            <w:tcW w:type="dxa" w:w="4860"/>
            <w:tcMar>
              <w:top w:type="dxa" w:w="60"/>
              <w:left w:type="dxa" w:w="100"/>
              <w:bottom w:type="dxa" w:w="60"/>
              <w:right w:type="dxa" w:w="100"/>
            </w:tcMar>
          </w:tcPr>
          <w:p>
            <w:r>
              <w:t xml:space="preserve">Customer satisfaction held at 4.6 out of 5 for the third consecutive quarter, with onboarding the most improved area.</w:t>
            </w:r>
          </w:p>
        </w:tc>
      </w:tr>
      <w:tr>
        <w:tc>
          <w:tcPr>
            <w:tcW w:type="dxa" w:w="900"/>
            <w:tcMar>
              <w:top w:type="dxa" w:w="60"/>
              <w:left w:type="dxa" w:w="100"/>
              <w:bottom w:type="dxa" w:w="60"/>
              <w:right w:type="dxa" w:w="100"/>
            </w:tcMar>
          </w:tcPr>
          <w:p>
            <w:r>
              <w:t xml:space="preserve">13</w:t>
            </w:r>
          </w:p>
        </w:tc>
        <w:tc>
          <w:tcPr>
            <w:tcW w:type="dxa" w:w="3600"/>
            <w:tcMar>
              <w:top w:type="dxa" w:w="60"/>
              <w:left w:type="dxa" w:w="100"/>
              <w:bottom w:type="dxa" w:w="60"/>
              <w:right w:type="dxa" w:w="100"/>
            </w:tcMar>
          </w:tcPr>
          <w:p>
            <w:r>
              <w:t xml:space="preserve">Support response times improved after the new triage process went live.</w:t>
            </w:r>
          </w:p>
        </w:tc>
        <w:tc>
          <w:tcPr>
            <w:tcW w:type="dxa" w:w="4860"/>
            <w:tcMar>
              <w:top w:type="dxa" w:w="60"/>
              <w:left w:type="dxa" w:w="100"/>
              <w:bottom w:type="dxa" w:w="60"/>
              <w:right w:type="dxa" w:w="100"/>
            </w:tcMar>
          </w:tcPr>
          <w:p>
            <w:r>
              <w:t xml:space="preserve">A detailed breakdown by team, region and product line follows in the appendix, together with the assumptions behind each forecast. Costs were within two percent of budget, helped by l</w:t>
            </w:r>
          </w:p>
        </w:tc>
      </w:tr>
      <w:tr>
        <w:tc>
          <w:tcPr>
            <w:tcW w:type="dxa" w:w="900"/>
            <w:tcMar>
              <w:top w:type="dxa" w:w="60"/>
              <w:left w:type="dxa" w:w="100"/>
              <w:bottom w:type="dxa" w:w="60"/>
              <w:right w:type="dxa" w:w="100"/>
            </w:tcMar>
          </w:tcPr>
          <w:p>
            <w:r>
              <w:t xml:space="preserve">14</w:t>
            </w:r>
          </w:p>
        </w:tc>
        <w:tc>
          <w:tcPr>
            <w:tcW w:type="dxa" w:w="3600"/>
            <w:tcMar>
              <w:top w:type="dxa" w:w="60"/>
              <w:left w:type="dxa" w:w="100"/>
              <w:bottom w:type="dxa" w:w="60"/>
              <w:right w:type="dxa" w:w="100"/>
            </w:tcMar>
          </w:tcPr>
          <w:p>
            <w:r>
              <w:t xml:space="preserve">Security completed the annual penetration test with no critical findings and three medium ones</w:t>
            </w:r>
          </w:p>
        </w:tc>
        <w:tc>
          <w:tcPr>
            <w:tcW w:type="dxa" w:w="4860"/>
            <w:tcMar>
              <w:top w:type="dxa" w:w="60"/>
              <w:left w:type="dxa" w:w="100"/>
              <w:bottom w:type="dxa" w:w="60"/>
              <w:right w:type="dxa" w:w="100"/>
            </w:tcMar>
          </w:tcPr>
          <w:p>
            <w:r>
              <w:t xml:space="preserve">Support response times improved after the new triage process went live. Customer satisfaction held at 4.6 out of 5 for the third consecutive quarter, with onboarding the most improved area.</w:t>
            </w:r>
          </w:p>
        </w:tc>
      </w:tr>
      <w:tr>
        <w:tc>
          <w:tcPr>
            <w:tcW w:type="dxa" w:w="900"/>
            <w:tcMar>
              <w:top w:type="dxa" w:w="60"/>
              <w:left w:type="dxa" w:w="100"/>
              <w:bottom w:type="dxa" w:w="60"/>
              <w:right w:type="dxa" w:w="100"/>
            </w:tcMar>
          </w:tcPr>
          <w:p>
            <w:r>
              <w:t xml:space="preserve">15</w:t>
            </w:r>
          </w:p>
        </w:tc>
        <w:tc>
          <w:tcPr>
            <w:tcW w:type="dxa" w:w="3600"/>
            <w:tcMar>
              <w:top w:type="dxa" w:w="60"/>
              <w:left w:type="dxa" w:w="100"/>
              <w:bottom w:type="dxa" w:w="60"/>
              <w:right w:type="dxa" w:w="100"/>
            </w:tcMar>
          </w:tcPr>
          <w:p>
            <w:r>
              <w:t xml:space="preserve">The median first reply is now under forty minutes</w:t>
            </w:r>
          </w:p>
        </w:tc>
        <w:tc>
          <w:tcPr>
            <w:tcW w:type="dxa" w:w="4860"/>
            <w:tcMar>
              <w:top w:type="dxa" w:w="60"/>
              <w:left w:type="dxa" w:w="100"/>
              <w:bottom w:type="dxa" w:w="60"/>
              <w:right w:type="dxa" w:w="100"/>
            </w:tcMar>
          </w:tcPr>
          <w:p>
            <w:r>
              <w:t xml:space="preserve">Looking ahead, the priorities are unchanged. Reduce churn among small accounts, expand the partner programme and finish the migra</w:t>
            </w:r>
          </w:p>
        </w:tc>
      </w:tr>
      <w:tr>
        <w:tc>
          <w:tcPr>
            <w:tcW w:type="dxa" w:w="900"/>
            <w:tcMar>
              <w:top w:type="dxa" w:w="60"/>
              <w:left w:type="dxa" w:w="100"/>
              <w:bottom w:type="dxa" w:w="60"/>
              <w:right w:type="dxa" w:w="100"/>
            </w:tcMar>
          </w:tcPr>
          <w:p>
            <w:r>
              <w:t xml:space="preserve">16</w:t>
            </w:r>
          </w:p>
        </w:tc>
        <w:tc>
          <w:tcPr>
            <w:tcW w:type="dxa" w:w="3600"/>
            <w:tcMar>
              <w:top w:type="dxa" w:w="60"/>
              <w:left w:type="dxa" w:w="100"/>
              <w:bottom w:type="dxa" w:w="60"/>
              <w:right w:type="dxa" w:w="100"/>
            </w:tcMar>
          </w:tcPr>
          <w:p>
            <w:r>
              <w:t xml:space="preserve">Revenue grew steadily across all three regions</w:t>
            </w:r>
          </w:p>
        </w:tc>
        <w:tc>
          <w:tcPr>
            <w:tcW w:type="dxa" w:w="4860"/>
            <w:tcMar>
              <w:top w:type="dxa" w:w="60"/>
              <w:left w:type="dxa" w:w="100"/>
              <w:bottom w:type="dxa" w:w="60"/>
              <w:right w:type="dxa" w:w="100"/>
            </w:tcMar>
          </w:tcPr>
          <w:p>
            <w:r>
              <w:t xml:space="preserve">Engineering shipped the redesigned onboarding flow, the offline mode for mobile and a long list of smaller fixes. Two incidents affected customers; both were resolved within the agreed window and a full write-up is attached. A detailed breakdown by t</w:t>
            </w:r>
          </w:p>
        </w:tc>
      </w:tr>
      <w:tr>
        <w:tc>
          <w:tcPr>
            <w:tcW w:type="dxa" w:w="900"/>
            <w:tcMar>
              <w:top w:type="dxa" w:w="60"/>
              <w:left w:type="dxa" w:w="100"/>
              <w:bottom w:type="dxa" w:w="60"/>
              <w:right w:type="dxa" w:w="100"/>
            </w:tcMar>
          </w:tcPr>
          <w:p>
            <w:r>
              <w:t xml:space="preserve">17</w:t>
            </w:r>
          </w:p>
        </w:tc>
        <w:tc>
          <w:tcPr>
            <w:tcW w:type="dxa" w:w="3600"/>
            <w:tcMar>
              <w:top w:type="dxa" w:w="60"/>
              <w:left w:type="dxa" w:w="100"/>
              <w:bottom w:type="dxa" w:w="60"/>
              <w:right w:type="dxa" w:w="100"/>
            </w:tcMar>
          </w:tcPr>
          <w:p>
            <w:r>
              <w:t xml:space="preserve">Looking ahead</w:t>
            </w:r>
          </w:p>
        </w:tc>
        <w:tc>
          <w:tcPr>
            <w:tcW w:type="dxa" w:w="4860"/>
            <w:tcMar>
              <w:top w:type="dxa" w:w="60"/>
              <w:left w:type="dxa" w:w="100"/>
              <w:bottom w:type="dxa" w:w="60"/>
              <w:right w:type="dxa" w:w="100"/>
            </w:tcMar>
          </w:tcPr>
          <w:p>
            <w:r>
              <w:t xml:space="preserve">Engineering shipped the redesigned onboarding flow, the offline mode for mobile and a long list of smaller fixes. Customer satisfaction held at 4.6 out of 5 for the third </w:t>
            </w:r>
          </w:p>
        </w:tc>
      </w:tr>
      <w:tr>
        <w:tc>
          <w:tcPr>
            <w:tcW w:type="dxa" w:w="900"/>
            <w:tcMar>
              <w:top w:type="dxa" w:w="60"/>
              <w:left w:type="dxa" w:w="100"/>
              <w:bottom w:type="dxa" w:w="60"/>
              <w:right w:type="dxa" w:w="100"/>
            </w:tcMar>
          </w:tcPr>
          <w:p>
            <w:r>
              <w:t xml:space="preserve">18</w:t>
            </w:r>
          </w:p>
        </w:tc>
        <w:tc>
          <w:tcPr>
            <w:tcW w:type="dxa" w:w="3600"/>
            <w:tcMar>
              <w:top w:type="dxa" w:w="60"/>
              <w:left w:type="dxa" w:w="100"/>
              <w:bottom w:type="dxa" w:w="60"/>
              <w:right w:type="dxa" w:w="100"/>
            </w:tcMar>
          </w:tcPr>
          <w:p>
            <w:r>
              <w:t xml:space="preserve">Support response times improved after the new triage process went live.</w:t>
            </w:r>
          </w:p>
        </w:tc>
        <w:tc>
          <w:tcPr>
            <w:tcW w:type="dxa" w:w="4860"/>
            <w:tcMar>
              <w:top w:type="dxa" w:w="60"/>
              <w:left w:type="dxa" w:w="100"/>
              <w:bottom w:type="dxa" w:w="60"/>
              <w:right w:type="dxa" w:w="100"/>
            </w:tcMar>
          </w:tcPr>
          <w:p>
            <w:r>
              <w:t xml:space="preserve">Security completed the annual penetration test with no critical findings and three medium ones, all already scheduled for rem</w:t>
            </w:r>
          </w:p>
        </w:tc>
      </w:tr>
      <w:tr>
        <w:tc>
          <w:tcPr>
            <w:tcW w:type="dxa" w:w="900"/>
            <w:tcMar>
              <w:top w:type="dxa" w:w="60"/>
              <w:left w:type="dxa" w:w="100"/>
              <w:bottom w:type="dxa" w:w="60"/>
              <w:right w:type="dxa" w:w="100"/>
            </w:tcMar>
          </w:tcPr>
          <w:p>
            <w:r>
              <w:t xml:space="preserve">19</w:t>
            </w:r>
          </w:p>
        </w:tc>
        <w:tc>
          <w:tcPr>
            <w:tcW w:type="dxa" w:w="3600"/>
            <w:tcMar>
              <w:top w:type="dxa" w:w="60"/>
              <w:left w:type="dxa" w:w="100"/>
              <w:bottom w:type="dxa" w:w="60"/>
              <w:right w:type="dxa" w:w="100"/>
            </w:tcMar>
          </w:tcPr>
          <w:p>
            <w:r>
              <w:t xml:space="preserve">Partner-sourced revenue reached its highest share yet</w:t>
            </w:r>
          </w:p>
        </w:tc>
        <w:tc>
          <w:tcPr>
            <w:tcW w:type="dxa" w:w="4860"/>
            <w:tcMar>
              <w:top w:type="dxa" w:w="60"/>
              <w:left w:type="dxa" w:w="100"/>
              <w:bottom w:type="dxa" w:w="60"/>
              <w:right w:type="dxa" w:w="100"/>
            </w:tcMar>
          </w:tcPr>
          <w:p>
            <w:r>
              <w:t xml:space="preserve">The board asked for a clearer view of pipeline coverage, so the next report will include weighted and unweighted figures </w:t>
            </w:r>
          </w:p>
        </w:tc>
      </w:tr>
      <w:tr>
        <w:tc>
          <w:tcPr>
            <w:tcW w:type="dxa" w:w="900"/>
            <w:tcMar>
              <w:top w:type="dxa" w:w="60"/>
              <w:left w:type="dxa" w:w="100"/>
              <w:bottom w:type="dxa" w:w="60"/>
              <w:right w:type="dxa" w:w="100"/>
            </w:tcMar>
          </w:tcPr>
          <w:p>
            <w:r>
              <w:t xml:space="preserve">20</w:t>
            </w:r>
          </w:p>
        </w:tc>
        <w:tc>
          <w:tcPr>
            <w:tcW w:type="dxa" w:w="3600"/>
            <w:tcMar>
              <w:top w:type="dxa" w:w="60"/>
              <w:left w:type="dxa" w:w="100"/>
              <w:bottom w:type="dxa" w:w="60"/>
              <w:right w:type="dxa" w:w="100"/>
            </w:tcMar>
          </w:tcPr>
          <w:p>
            <w:r>
              <w:t xml:space="preserve">Looking ahead</w:t>
            </w:r>
          </w:p>
        </w:tc>
        <w:tc>
          <w:tcPr>
            <w:tcW w:type="dxa" w:w="4860"/>
            <w:tcMar>
              <w:top w:type="dxa" w:w="60"/>
              <w:left w:type="dxa" w:w="100"/>
              <w:bottom w:type="dxa" w:w="60"/>
              <w:right w:type="dxa" w:w="100"/>
            </w:tcMar>
          </w:tcPr>
          <w:p>
            <w:r>
              <w:t xml:space="preserve">Revenue grew steadily across all three regions, although the northern region trailed expectations because two large renewals slipped into the following quarter. Security completed the annual penetration test with no critical fin</w:t>
            </w:r>
          </w:p>
        </w:tc>
      </w:tr>
      <w:tr>
        <w:tc>
          <w:tcPr>
            <w:tcW w:type="dxa" w:w="900"/>
            <w:tcMar>
              <w:top w:type="dxa" w:w="60"/>
              <w:left w:type="dxa" w:w="100"/>
              <w:bottom w:type="dxa" w:w="60"/>
              <w:right w:type="dxa" w:w="100"/>
            </w:tcMar>
          </w:tcPr>
          <w:p>
            <w:r>
              <w:t xml:space="preserve">21</w:t>
            </w:r>
          </w:p>
        </w:tc>
        <w:tc>
          <w:tcPr>
            <w:tcW w:type="dxa" w:w="3600"/>
            <w:tcMar>
              <w:top w:type="dxa" w:w="60"/>
              <w:left w:type="dxa" w:w="100"/>
              <w:bottom w:type="dxa" w:w="60"/>
              <w:right w:type="dxa" w:w="100"/>
            </w:tcMar>
          </w:tcPr>
          <w:p>
            <w:r>
              <w:t xml:space="preserve">A detailed breakdown by team</w:t>
            </w:r>
          </w:p>
        </w:tc>
        <w:tc>
          <w:tcPr>
            <w:tcW w:type="dxa" w:w="4860"/>
            <w:tcMar>
              <w:top w:type="dxa" w:w="60"/>
              <w:left w:type="dxa" w:w="100"/>
              <w:bottom w:type="dxa" w:w="60"/>
              <w:right w:type="dxa" w:w="100"/>
            </w:tcMar>
          </w:tcPr>
          <w:p>
            <w:r>
              <w:t xml:space="preserve">Partner-sourced revenue reached its highest share yet, driven by the two new reseller agreements signed in March. Revenue grew steadily across all three regions, although the northern region trailed expectations because two lar</w:t>
            </w:r>
          </w:p>
        </w:tc>
      </w:tr>
      <w:tr>
        <w:tc>
          <w:tcPr>
            <w:tcW w:type="dxa" w:w="900"/>
            <w:tcMar>
              <w:top w:type="dxa" w:w="60"/>
              <w:left w:type="dxa" w:w="100"/>
              <w:bottom w:type="dxa" w:w="60"/>
              <w:right w:type="dxa" w:w="100"/>
            </w:tcMar>
          </w:tcPr>
          <w:p>
            <w:r>
              <w:t xml:space="preserve">22</w:t>
            </w:r>
          </w:p>
        </w:tc>
        <w:tc>
          <w:tcPr>
            <w:tcW w:type="dxa" w:w="3600"/>
            <w:tcMar>
              <w:top w:type="dxa" w:w="60"/>
              <w:left w:type="dxa" w:w="100"/>
              <w:bottom w:type="dxa" w:w="60"/>
              <w:right w:type="dxa" w:w="100"/>
            </w:tcMar>
          </w:tcPr>
          <w:p>
            <w:r>
              <w:t xml:space="preserve">Engineering shipped the redesigned onboarding flow</w:t>
            </w:r>
          </w:p>
        </w:tc>
        <w:tc>
          <w:tcPr>
            <w:tcW w:type="dxa" w:w="4860"/>
            <w:tcMar>
              <w:top w:type="dxa" w:w="60"/>
              <w:left w:type="dxa" w:w="100"/>
              <w:bottom w:type="dxa" w:w="60"/>
              <w:right w:type="dxa" w:w="100"/>
            </w:tcMar>
          </w:tcPr>
          <w:p>
            <w:r>
              <w:t xml:space="preserve">A detailed breakdown by team, region and product line follows in the appendix, together with the assumptions behind each forecast. Engineering shipped the redesigned onboarding flow, the offline mode</w:t>
            </w:r>
          </w:p>
        </w:tc>
      </w:tr>
    </w:tbl>
    <w:p>
      <w:pPr>
        <w:spacing w:after="160" w:before="200"/>
      </w:pPr>
      <w:r>
        <w:t xml:space="preserve">Text straight after the table.</w:t>
      </w:r>
    </w:p>
    <w:p>
      <w:pPr>
        <w:pStyle w:val="Heading1"/>
        <w:keepNext/>
        <w:keepLines/>
      </w:pPr>
      <w:r>
        <w:t xml:space="preserve">5. Hiring</w:t>
      </w:r>
    </w:p>
    <w:p>
      <w:pPr>
        <w:spacing w:after="160" w:line="259"/>
      </w:pPr>
      <w:r>
        <w:t xml:space="preserve">The median first reply is now under forty minutes, and the backlog of open tickets has fallen by almost a third since the start of the year. Customer satisfaction held at 4.6 out of 5 for the third consecutive quarter, with onboarding the most improved area.</w:t>
      </w:r>
    </w:p>
    <w:p>
      <w:pPr>
        <w:spacing w:after="160" w:line="259"/>
      </w:pPr>
      <w:r>
        <w:t xml:space="preserve">Reduce churn among small accounts, expand the partner programme and finish the migration of the remaining legacy services before the end of the financial year. Customer satisfaction held at 4.6 out of 5 for the third consecutive quarter, with onboarding the most improved area. Looking ahead, the priorities are unchanged. Security completed the annual penetration test with no critical findings and three medium ones, all already scheduled for remediation. Looking ahead, the priorities are unchanged.</w:t>
      </w:r>
    </w:p>
    <w:p>
      <w:pPr>
        <w:spacing w:after="160" w:line="259"/>
      </w:pPr>
      <w:r>
        <w:t xml:space="preserve">Two incidents affected customers; both were resolved within the agreed window and a full write-up is attached. Looking ahead, the priorities are unchanged. The median first reply is now under forty minutes, and the backlog of open tickets has fallen by almost a third since the start of the year. Two incidents affected customers; both were resolved within the agreed window and a full write-up is attached. Costs were within two percent of budget, helped by lower cloud spending after the storage clean-up. The board asked for a clearer view of pipeline coverage, so the next report will include weighted and unweighted figures side by side.</w:t>
      </w:r>
    </w:p>
    <w:p>
      <w:pPr>
        <w:spacing w:after="160" w:line="259"/>
      </w:pPr>
      <w:r>
        <w:t xml:space="preserve">Hiring is on plan, with eleven of fourteen roles filled and the remainder in final interviews. Engineering shipped the redesigned onboarding flow, the offline mode for mobile and a long list of smaller fixes. Two incidents affected customers; both were resolved within the agreed window and a full write-up is attached. The median first reply is now under forty minutes, and the backlog of open tickets has fallen by almost a third since the start of the year. Looking ahead, the priorities are unchanged. A detailed breakdown by team, region and product line follows in the appendix, together with the assumptions behind each forecast.</w:t>
      </w:r>
    </w:p>
    <w:p>
      <w:pPr>
        <w:spacing w:after="160" w:line="259"/>
      </w:pPr>
      <w:r>
        <w:t xml:space="preserve">Security completed the annual penetration test with no critical findings and three medium ones, all already scheduled for remediation. Revenue grew steadily across all three regions, although the northern region trailed expectations because two large renewals slipped into the following quarter.</w:t>
      </w:r>
    </w:p>
    <w:p>
      <w:pPr>
        <w:pStyle w:val="Heading1"/>
        <w:keepNext/>
        <w:keepLines/>
        <w:pageBreakBefore/>
      </w:pPr>
      <w:r>
        <w:t xml:space="preserve">6. Risks</w:t>
      </w:r>
    </w:p>
    <w:p>
      <w:pPr>
        <w:spacing w:after="160" w:line="259"/>
      </w:pPr>
      <w:r>
        <w:t xml:space="preserve">Looking ahead, the priorities are unchanged. Customer satisfaction held at 4.6 out of 5 for the third consecutive quarter, with onboarding the most improved area. The board asked for a clearer view of pipeline coverage, so the next report will include weighted and unweighted figures side by side.</w:t>
      </w:r>
    </w:p>
    <w:p>
      <w:pPr>
        <w:spacing w:after="160" w:line="259"/>
      </w:pPr>
      <w:r>
        <w:t xml:space="preserve">Looking ahead, the priorities are unchanged. A detailed breakdown by team, region and product line follows in the appendix, together with the assumptions behind each forecast. Partner-sourced revenue reached its highest share yet, driven by the two new reseller agreements signed in March.</w:t>
      </w:r>
    </w:p>
    <w:p>
      <w:pPr>
        <w:spacing w:after="160" w:line="259"/>
      </w:pPr>
      <w:r>
        <w:t xml:space="preserve">A detailed breakdown by team, region and product line follows in the appendix, together with the assumptions behind each forecast.</w:t>
      </w:r>
    </w:p>
    <w:p>
      <w:pPr>
        <w:spacing w:after="160" w:line="259"/>
      </w:pPr>
      <w:r>
        <w:t xml:space="preserve">The board asked for a clearer view of pipeline coverage, so the next report will include weighted and unweighted figures side by side. The board asked for a clearer view of pipeline coverage, so the next report will include weighted and unweighted figures side by side. Two incidents affected customers; both were resolved within the agreed window and a full write-up is attached.</w:t>
      </w:r>
    </w:p>
    <w:p>
      <w:pPr>
        <w:spacing w:after="160" w:line="259"/>
      </w:pPr>
      <w:r>
        <w:t xml:space="preserve">The board asked for a clearer view of pipeline coverage, so the next report will include weighted and unweighted figures side by side. Reduce churn among small accounts, expand the partner programme and finish the migration of the remaining legacy services before the end of the financial year.</w:t>
      </w:r>
    </w:p>
    <w:p>
      <w:pPr>
        <w:pStyle w:val="Heading1"/>
        <w:keepNext/>
        <w:keepLines/>
      </w:pPr>
      <w:r>
        <w:t xml:space="preserve">7. Customers</w:t>
      </w:r>
    </w:p>
    <w:p>
      <w:pPr>
        <w:spacing w:after="160" w:line="259"/>
      </w:pPr>
      <w:r>
        <w:t xml:space="preserve">A detailed breakdown by team, region and product line follows in the appendix, together with the assumptions behind each forecast.</w:t>
      </w:r>
    </w:p>
    <w:p>
      <w:pPr>
        <w:spacing w:after="160" w:line="259"/>
      </w:pPr>
      <w:r>
        <w:t xml:space="preserve">The median first reply is now under forty minutes, and the backlog of open tickets has fallen by almost a third since the start of the year. Two incidents affected customers; both were resolved within the agreed window and a full write-up is attached.</w:t>
      </w:r>
    </w:p>
    <w:p>
      <w:pPr>
        <w:spacing w:after="160" w:line="259"/>
      </w:pPr>
      <w:r>
        <w:t xml:space="preserve">Customer satisfaction held at 4.6 out of 5 for the third consecutive quarter, with onboarding the most improved area. The board asked for a clearer view of pipeline coverage, so the next report will include weighted and unweighted figures side by side. The board asked for a clearer view of pipeline coverage, so the next report will include weighted and unweighted figures side by side. Looking ahead, the priorities are unchanged. Two incidents affected customers; both were resolved within the agreed window and a full write-up is attached.</w:t>
      </w:r>
    </w:p>
    <w:p>
      <w:pPr>
        <w:spacing w:after="160" w:line="259"/>
      </w:pPr>
      <w:r>
        <w:t xml:space="preserve">A detailed breakdown by team, region and product line follows in the appendix, together with the assumptions behind each forecast. Two incidents affected customers; both were resolved within the agreed window and a full write-up is attached.</w:t>
      </w:r>
    </w:p>
    <w:p>
      <w:pPr>
        <w:spacing w:after="160" w:line="259"/>
      </w:pPr>
      <w:r>
        <w:t xml:space="preserve">Security completed the annual penetration test with no critical findings and three medium ones, all already scheduled for remediation. Two incidents affected customers; both were resolved within the agreed window and a full write-up is attached. Looking ahead, the priorities are unchanged. Revenue grew steadily across all three regions, although the northern region trailed expectations because two large renewals slipped into the following quarter.</w:t>
      </w:r>
    </w:p>
    <w:p>
      <w:pPr>
        <w:spacing w:after="160" w:line="259"/>
      </w:pPr>
      <w:r>
        <w:t xml:space="preserve">Engineering shipped the redesigned onboarding flow, the offline mode for mobile and a long list of smaller fixes. The board asked for a clearer view of pipeline coverage, so the next report will include weighted and unweighted figures side by side. Looking ahead, the priorities are unchanged. The board asked for a clearer view of pipeline coverage, so the next report will include weighted and unweighted figures side by side. Partner-sourced revenue reached its highest share yet, driven by the two new reseller agreements signed in March. Partner-sourced revenue reached its highest share yet, driven by the two new reseller agreements signed in March.</w:t>
      </w:r>
    </w:p>
    <w:p>
      <w:pPr>
        <w:pStyle w:val="Heading1"/>
        <w:keepNext/>
        <w:keepLines/>
      </w:pPr>
      <w:r>
        <w:t xml:space="preserve">8. Outlook</w:t>
      </w:r>
    </w:p>
    <w:p>
      <w:pPr>
        <w:spacing w:after="160" w:line="259"/>
      </w:pPr>
      <w:r>
        <w:t xml:space="preserve">Two incidents affected customers; both were resolved within the agreed window and a full write-up is attached. Looking ahead, the priorities are unchanged. Customer satisfaction held at 4.6 out of 5 for the third consecutive quarter, with onboarding the most improved area.</w:t>
      </w:r>
    </w:p>
    <w:p>
      <w:pPr>
        <w:spacing w:after="160" w:line="259"/>
      </w:pPr>
      <w:r>
        <w:t xml:space="preserve">Costs were within two percent of budget, helped by lower cloud spending after the storage clean-up. Looking ahead, the priorities are unchanged.</w:t>
      </w:r>
    </w:p>
    <w:p>
      <w:pPr>
        <w:spacing w:after="160" w:line="259"/>
      </w:pPr>
      <w:r>
        <w:t xml:space="preserve">The board asked for a clearer view of pipeline coverage, so the next report will include weighted and unweighted figures side by side. The board asked for a clearer view of pipeline coverage, so the next report will include weighted and unweighted figures side by side. Two incidents affected customers; both were resolved within the agreed window and a full write-up is attached. Engineering shipped the redesigned onboarding flow, the offline mode for mobile and a long list of smaller fixes. Partner-sourced revenue reached its highest share yet, driven by the two new reseller agreements signed in March. Revenue grew steadily across all three regions, although the northern region trailed expectations because two large renewals slipped into the following quarter.</w:t>
      </w:r>
    </w:p>
    <w:p>
      <w:pPr>
        <w:pStyle w:val="Heading1"/>
        <w:keepNext/>
        <w:keepLines/>
      </w:pPr>
      <w:r>
        <w:t xml:space="preserve">9. Appendix</w:t>
      </w:r>
    </w:p>
    <w:p>
      <w:pPr>
        <w:spacing w:after="160" w:line="259"/>
      </w:pPr>
      <w:r>
        <w:t xml:space="preserve">A detailed breakdown by team, region and product line follows in the appendix, together with the assumptions behind each forecast. A detailed breakdown by team, region and product line follows in the appendix, together with the assumptions behind each forecast. Security completed the annual penetration test with no critical findings and three medium ones, all already scheduled for remediation. Engineering shipped the redesigned onboarding flow, the offline mode for mobile and a long list of smaller fixes.</w:t>
      </w:r>
    </w:p>
    <w:p>
      <w:pPr>
        <w:spacing w:after="160" w:line="259"/>
      </w:pPr>
      <w:r>
        <w:t xml:space="preserve">Support response times improved after the new triage process went live. Partner-sourced revenue reached its highest share yet, driven by the two new reseller agreements signed in March. Reduce churn among small accounts, expand the partner programme and finish the migration of the remaining legacy services before the end of the financial year. Customer satisfaction held at 4.6 out of 5 for the third consecutive quarter, with onboarding the most improved area.</w:t>
      </w:r>
    </w:p>
    <w:p>
      <w:pPr>
        <w:spacing w:after="160" w:line="259"/>
      </w:pPr>
      <w:r>
        <w:t xml:space="preserve">Hiring is on plan, with eleven of fourteen roles filled and the remainder in final interviews.</w:t>
      </w:r>
    </w:p>
    <w:p>
      <w:pPr>
        <w:spacing w:after="160" w:line="259"/>
      </w:pPr>
      <w:r>
        <w:t xml:space="preserve">The board asked for a clearer view of pipeline coverage, so the next report will include weighted and unweighted figures side by side. Hiring is on plan, with eleven of fourteen roles filled and the remainder in final interviews. Partner-sourced revenue reached its highest share yet, driven by the two new reseller agreements signed in March. Support response times improved after the new triage process went live. Revenue grew steadily across all three regions, although the northern region trailed expectations because two large renewals slipped into the following quarter.</w:t>
      </w:r>
    </w:p>
    <w:p>
      <w:pPr>
        <w:spacing w:after="160" w:line="259"/>
      </w:pPr>
      <w:r>
        <w:t xml:space="preserve">Security completed the annual penetration test with no critical findings and three medium ones, all already scheduled for remediation. A detailed breakdown by team, region and product line follows in the appendix, together with the assumptions behind each forecast. Revenue grew steadily across all three regions, although the northern region trailed expectations because two large renewals slipped into the following quarter. Reduce churn among small accounts, expand the partner programme and finish the migration of the remaining legacy services before the end of the financial year. Customer satisfaction held at 4.6 out of 5 for the third consecutive quarter, with onboarding the most improved area.</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tabs>
        <w:tab w:val="right" w:pos="9360"/>
      </w:tabs>
    </w:pPr>
    <w:r>
      <w:rPr>
        <w:sz w:val="18"/>
        <w:szCs w:val="18"/>
      </w:rPr>
      <w:t xml:space="preserve">Acme Corp</w:t>
    </w:r>
    <w:r>
      <w:rPr>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rFonts w:ascii="Georgia" w:cs="Georgia" w:eastAsia="Georgia" w:hAnsi="Georgia"/>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2026-09-26T14:09:35.921Z</dcterms:created>
  <dcterms:modified xsi:type="dcterms:W3CDTF">2026-09-26T14:09:35.921Z</dcterms:modified>
</cp:coreProperties>
</file>

<file path=docProps/custom.xml><?xml version="1.0" encoding="utf-8"?>
<Properties xmlns="http://schemas.openxmlformats.org/officeDocument/2006/custom-properties" xmlns:vt="http://schemas.openxmlformats.org/officeDocument/2006/docPropsVTypes"/>
</file>