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40"/>
          <w:szCs w:val="40"/>
        </w:rPr>
        <w:t xml:space="preserve">Text formatting fixture</w:t>
      </w:r>
    </w:p>
    <w:p>
      <w:r>
        <w:t xml:space="preserve">The quarterly review covered revenue, staffing and the product roadmap. Revenue grew steadily across all three regions, although the northern region trailed expectations because two large renewals slipped into the following quarter.</w:t>
      </w:r>
    </w:p>
    <w:p>
      <w:pPr>
        <w:spacing w:after="120" w:before="120"/>
      </w:pPr>
      <w:r>
        <w:t xml:space="preserve">Operations reported that support response times improved after the new triage process went live. The median first reply is now under forty minutes, and the backlog of open tickets has fallen by almost a third since the start of the year.</w:t>
      </w:r>
    </w:p>
    <w:p>
      <w:pPr>
        <w:spacing w:after="160"/>
      </w:pPr>
      <w:r>
        <w:t xml:space="preserve">Sizes: </w:t>
      </w:r>
      <w:r>
        <w:rPr>
          <w:sz w:val="16"/>
          <w:szCs w:val="16"/>
        </w:rPr>
        <w:t xml:space="preserve">8 pt </w:t>
      </w:r>
      <w:r>
        <w:rPr>
          <w:sz w:val="20"/>
          <w:szCs w:val="20"/>
        </w:rPr>
        <w:t xml:space="preserve">10 pt </w:t>
      </w:r>
      <w:r>
        <w:rPr>
          <w:sz w:val="24"/>
          <w:szCs w:val="24"/>
        </w:rPr>
        <w:t xml:space="preserve">12 pt </w:t>
      </w:r>
      <w:r>
        <w:rPr>
          <w:sz w:val="28"/>
          <w:szCs w:val="28"/>
        </w:rPr>
        <w:t xml:space="preserve">14 pt </w:t>
      </w:r>
      <w:r>
        <w:rPr>
          <w:sz w:val="36"/>
          <w:szCs w:val="36"/>
        </w:rPr>
        <w:t xml:space="preserve">18 pt </w:t>
      </w:r>
      <w:r>
        <w:rPr>
          <w:sz w:val="48"/>
          <w:szCs w:val="48"/>
        </w:rPr>
        <w:t xml:space="preserve">24 pt</w:t>
      </w:r>
    </w:p>
    <w:p>
      <w:r>
        <w:rPr>
          <w:rFonts w:ascii="Arial" w:cs="Arial" w:eastAsia="Arial" w:hAnsi="Arial"/>
        </w:rPr>
        <w:t xml:space="preserve">Arial sample text for the fixture. </w:t>
      </w:r>
    </w:p>
    <w:p>
      <w:r>
        <w:rPr>
          <w:rFonts w:ascii="Times New Roman" w:cs="Times New Roman" w:eastAsia="Times New Roman" w:hAnsi="Times New Roman"/>
          <w:sz w:val="24"/>
          <w:szCs w:val="24"/>
        </w:rPr>
        <w:t xml:space="preserve">Times New Roman sample text for the fixture. </w:t>
      </w:r>
    </w:p>
    <w:p>
      <w:r>
        <w:rPr>
          <w:rFonts w:ascii="Courier New" w:cs="Courier New" w:eastAsia="Courier New" w:hAnsi="Courier New"/>
        </w:rPr>
        <w:t xml:space="preserve">Courier New sample text for the fixture. </w:t>
      </w:r>
    </w:p>
    <w:p>
      <w:r>
        <w:rPr>
          <w:rFonts w:ascii="Cambria" w:cs="Cambria" w:eastAsia="Cambria" w:hAnsi="Cambria"/>
          <w:sz w:val="26"/>
          <w:szCs w:val="26"/>
        </w:rPr>
        <w:t xml:space="preserve">Cambria sample text for the fixture. </w:t>
      </w:r>
    </w:p>
    <w:p>
      <w:pPr>
        <w:spacing w:after="200" w:before="200"/>
      </w:pPr>
      <w:r>
        <w:rPr>
          <w:b/>
          <w:bCs/>
        </w:rPr>
        <w:t xml:space="preserve">Bold </w:t>
      </w:r>
      <w:r>
        <w:rPr>
          <w:i/>
          <w:iCs/>
        </w:rPr>
        <w:t xml:space="preserve">italic </w:t>
      </w:r>
      <w:r>
        <w:rPr>
          <w:b/>
          <w:bCs/>
          <w:i/>
          <w:iCs/>
        </w:rPr>
        <w:t xml:space="preserve">bold-italic </w:t>
      </w:r>
      <w:r>
        <w:rPr>
          <w:u w:val="single"/>
        </w:rPr>
        <w:t xml:space="preserve">underline </w:t>
      </w:r>
      <w:r>
        <w:rPr>
          <w:strike/>
        </w:rPr>
        <w:t xml:space="preserve">strike </w:t>
      </w:r>
      <w:r>
        <w:rPr>
          <w:color w:val="C00000"/>
        </w:rPr>
        <w:t xml:space="preserve">red </w:t>
      </w:r>
      <w:r>
        <w:rPr>
          <w:color w:val="1F4E79"/>
        </w:rPr>
        <w:t xml:space="preserve">blue </w:t>
      </w:r>
      <w:r>
        <w:rPr>
          <w:highlight w:val="yellow"/>
          <w:highlightCs w:val="yellow"/>
        </w:rPr>
        <w:t xml:space="preserve">highlighted </w:t>
      </w:r>
      <w:r>
        <w:t xml:space="preserve">X</w:t>
      </w:r>
      <w:r>
        <w:rPr>
          <w:vertAlign w:val="superscript"/>
        </w:rPr>
        <w:t xml:space="preserve">2</w:t>
      </w:r>
      <w:r>
        <w:t xml:space="preserve"> H</w:t>
      </w:r>
      <w:r>
        <w:rPr>
          <w:vertAlign w:val="subscript"/>
        </w:rPr>
        <w:t xml:space="preserve">2</w:t>
      </w:r>
      <w:r>
        <w:rPr>
          <w:caps/>
        </w:rPr>
        <w:t xml:space="preserve">O ALLCAPS </w:t>
      </w:r>
      <w:r>
        <w:rPr>
          <w:smallCaps/>
        </w:rPr>
        <w:t xml:space="preserve">SmallCaps</w:t>
      </w:r>
    </w:p>
    <w:p>
      <w:pPr>
        <w:jc w:val="left"/>
      </w:pPr>
      <w:r>
        <w:t xml:space="preserve">Left aligned. Engineering shipped the redesigned onboarding flow, the offline mode for mobile and a long list of smaller fixes. Two incidents affected customers; both were resolved within the agreed window and a full write-up is attached to this document.</w:t>
      </w:r>
    </w:p>
    <w:p>
      <w:pPr>
        <w:spacing w:before="120"/>
        <w:jc w:val="center"/>
      </w:pPr>
      <w:r>
        <w:t xml:space="preserve">Centered. Looking ahead, the priorities are unchanged: reduce churn among small accounts, expand the partner programme and finish the migration of the remaining legacy services before the end of the financial year.</w:t>
      </w:r>
    </w:p>
    <w:p>
      <w:pPr>
        <w:spacing w:before="120"/>
        <w:jc w:val="right"/>
      </w:pPr>
      <w:r>
        <w:t xml:space="preserve">Right aligned. Operations reported that support response times improved after the new triage process went live. The median first reply is now under forty minutes, and the backlog of open tickets has fallen by almost a third since the start of the year.</w:t>
      </w:r>
    </w:p>
    <w:p>
      <w:pPr>
        <w:spacing w:before="120"/>
        <w:jc w:val="both"/>
      </w:pPr>
      <w:r>
        <w:t xml:space="preserve">Justified. The quarterly review covered revenue, staffing and the product roadmap. Revenue grew steadily across all three regions, although the northern region trailed expectations because two large renewals slipped into the following quarter. Engineering shipped the redesigned onboarding flow, the offline mode for mobile and a long list of smaller fixes. Two incidents affected customers; both were resolved within the agreed window and a full write-up is attached to this document.</w:t>
      </w:r>
    </w:p>
    <w:p>
      <w:pPr>
        <w:spacing w:before="200"/>
      </w:pPr>
      <w:r>
        <w:t xml:space="preserve">A link: </w:t>
      </w:r>
      <w:hyperlink w:history="1" r:id="rIdnbhsuhobf9-jxteaugu6d">
        <w:r>
          <w:rPr>
            <w:rStyle w:val="Hyperlink"/>
            <w:color w:val="0563C1"/>
            <w:u w:val="single"/>
          </w:rPr>
          <w:t xml:space="preserve">https://example.com/report</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bhsuhobf9-jxteaugu6d" Type="http://schemas.openxmlformats.org/officeDocument/2006/relationships/hyperlink" Target="https://example.com/repor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2026-09-20T14:30:42.149Z</dcterms:created>
  <dcterms:modified xsi:type="dcterms:W3CDTF">2026-09-20T14:30:42.149Z</dcterms:modified>
</cp:coreProperties>
</file>

<file path=docProps/custom.xml><?xml version="1.0" encoding="utf-8"?>
<Properties xmlns="http://schemas.openxmlformats.org/officeDocument/2006/custom-properties" xmlns:vt="http://schemas.openxmlformats.org/officeDocument/2006/docPropsVTypes"/>
</file>