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DCT Audit Findings Report</w:t>
      </w:r>
    </w:p>
    <w:p>
      <w:pPr>
        <w:jc w:val="center"/>
      </w:pPr>
      <w:r>
        <w:rPr>
          <w:sz w:val="20"/>
        </w:rPr>
        <w:t>MLF Label: 4.4.6 Record Systems  |  EP DCT  |  Airworthiness</w:t>
      </w:r>
    </w:p>
    <w:p>
      <w:pPr>
        <w:jc w:val="center"/>
      </w:pPr>
      <w:r>
        <w:rPr>
          <w:b/>
          <w:sz w:val="20"/>
        </w:rPr>
        <w:t>Facility: Skysource Aviation, LLC  |  Target Document:   |  Audit Date: 2026-01-13</w:t>
      </w:r>
    </w:p>
    <w:p/>
    <w:p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</w:pPr>
      <w:r>
        <w:rPr>
          <w:b/>
          <w:sz w:val="24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 Questions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Satisfactory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Not Applicable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Findings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Recommendations</w:t>
            </w:r>
          </w:p>
        </w:tc>
      </w:tr>
      <w:tr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8"/>
              </w:rPr>
              <w:t>18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28A7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C107"/>
                <w:sz w:val="28"/>
              </w:rPr>
              <w:t>18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DC35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007BFF"/>
                <w:sz w:val="28"/>
              </w:rPr>
              <w:t>0</w:t>
            </w:r>
          </w:p>
        </w:tc>
      </w:tr>
    </w:tbl>
    <w:p/>
    <w:p>
      <w:r>
        <w:rPr>
          <w:b/>
          <w:sz w:val="22"/>
        </w:rPr>
        <w:t>SUMMARY INFORMATION</w:t>
      </w:r>
    </w:p>
    <w:p>
      <w:r>
        <w:rPr>
          <w:b/>
          <w:sz w:val="20"/>
        </w:rPr>
        <w:t xml:space="preserve">Purpose (Certificate Holder Responsibility): </w:t>
      </w:r>
      <w:r>
        <w:rPr>
          <w:sz w:val="20"/>
        </w:rPr>
        <w:t>To record/document maintenance and alterations on aircraft and/or parts thereof.</w:t>
      </w:r>
    </w:p>
    <w:p>
      <w:r>
        <w:rPr>
          <w:b/>
          <w:sz w:val="20"/>
        </w:rPr>
        <w:t xml:space="preserve">Objective (FAA Responsibility): </w:t>
      </w:r>
      <w:r>
        <w:rPr>
          <w:sz w:val="20"/>
        </w:rPr>
        <w:t>Determine; (1) If the CH followed the accepted or approved process; (2) If the CH recorded/documented the maintenance and alterations on aircraft and parts thereof; (3) If CH performed periodic verification of the records/documents per the requirements of the RSM and/or QCM.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(1.5.4)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Q3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00060484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Safety Promotion requirements only apply to SMSVP participants. Note: RSQC has training per 145.163 but Part 5 SMS training not required.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Q4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00060485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Safety Communication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Q5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00060490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Training record retention requirements only apply to SMSVP participants. Note: RSQC retains training records per 145.163.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Q6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00060491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Safety Communication record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Q7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Q8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Q9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(1.5.4)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Q10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Q11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(1.5.4)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Q12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Q13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(1.5.4)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Q14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Q15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(1.5.4)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Q16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(1.5.4)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Q17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Q18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(1.5.4)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p/>
    <w:p>
      <w:pPr>
        <w:jc w:val="center"/>
      </w:pPr>
      <w:r>
        <w:rPr>
          <w:color w:val="666666"/>
          <w:sz w:val="16"/>
        </w:rPr>
        <w:t>Printed: 01/13/2026 10:24:46</w:t>
      </w:r>
    </w:p>
    <w:p>
      <w:pPr>
        <w:jc w:val="center"/>
      </w:pPr>
      <w:r>
        <w:rPr>
          <w:color w:val="666666"/>
          <w:sz w:val="16"/>
        </w:rPr>
        <w:t>UNCONTROLLED COPY WHEN DOWNLOADED - Check Data Repository to verify that this data is current prior to use</w:t>
      </w:r>
    </w:p>
    <w:p>
      <w:pPr>
        <w:jc w:val="center"/>
      </w:pPr>
      <w:r>
        <w:rPr>
          <w:color w:val="666666"/>
          <w:sz w:val="16"/>
        </w:rPr>
        <w:t>FOR OFFICIAL USE ONLY - Public availability to be determined under 5 USC 552.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