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552D1" w:rsidP="007552D1" w:rsidRDefault="007552D1" w14:paraId="211D6266" w14:textId="6BA2763E">
      <w:pPr>
        <w:rPr>
          <w:rFonts w:eastAsia="Aptos"/>
        </w:rPr>
      </w:pPr>
      <w:r>
        <w:rPr>
          <w:rFonts w:eastAsia="Aptos"/>
        </w:rPr>
        <w:t xml:space="preserve">Group: </w:t>
      </w:r>
      <w:r w:rsidRPr="007552D1">
        <w:rPr>
          <w:rFonts w:eastAsia="Aptos"/>
        </w:rPr>
        <w:t>Mosan Shahzad</w:t>
      </w:r>
      <w:r>
        <w:rPr>
          <w:rFonts w:eastAsia="Aptos"/>
        </w:rPr>
        <w:t>, Mohammad Abdul Sameed</w:t>
      </w:r>
    </w:p>
    <w:p w:rsidR="007552D1" w:rsidP="007552D1" w:rsidRDefault="007552D1" w14:paraId="3E2F61CC" w14:textId="282ACFD4">
      <w:pPr>
        <w:rPr>
          <w:rFonts w:eastAsia="Aptos"/>
        </w:rPr>
      </w:pPr>
      <w:r>
        <w:rPr>
          <w:rFonts w:eastAsia="Aptos"/>
        </w:rPr>
        <w:t>Stocks: MSFT, ORCL, SONY</w:t>
      </w:r>
    </w:p>
    <w:p w:rsidRPr="007552D1" w:rsidR="007552D1" w:rsidP="007552D1" w:rsidRDefault="007552D1" w14:paraId="6C5EC2B8" w14:textId="77777777">
      <w:pPr>
        <w:rPr>
          <w:rFonts w:eastAsia="Aptos"/>
          <w:b/>
          <w:bCs/>
          <w:sz w:val="32"/>
          <w:szCs w:val="32"/>
          <w:u w:val="single"/>
        </w:rPr>
      </w:pPr>
    </w:p>
    <w:p w:rsidRPr="007552D1" w:rsidR="00A61F53" w:rsidP="007552D1" w:rsidRDefault="5AE9AA46" w14:paraId="45D121B0" w14:textId="7F549ED8">
      <w:pPr>
        <w:rPr>
          <w:rFonts w:eastAsia="Aptos"/>
          <w:b/>
          <w:bCs/>
          <w:sz w:val="32"/>
          <w:szCs w:val="32"/>
          <w:u w:val="single"/>
        </w:rPr>
      </w:pPr>
      <w:r w:rsidRPr="007552D1">
        <w:rPr>
          <w:rFonts w:eastAsia="Aptos"/>
          <w:b/>
          <w:bCs/>
          <w:sz w:val="32"/>
          <w:szCs w:val="32"/>
          <w:u w:val="single"/>
        </w:rPr>
        <w:t>Analysis of Stocks:</w:t>
      </w:r>
    </w:p>
    <w:p w:rsidR="007552D1" w:rsidP="007552D1" w:rsidRDefault="007552D1" w14:paraId="22D29282" w14:textId="77777777"/>
    <w:p w:rsidRPr="007552D1" w:rsidR="007552D1" w:rsidP="007552D1" w:rsidRDefault="007552D1" w14:paraId="7818B4FE" w14:textId="3CD52C4A">
      <w:pPr>
        <w:rPr>
          <w:b/>
          <w:bCs/>
        </w:rPr>
      </w:pPr>
      <w:r>
        <w:rPr>
          <w:b/>
          <w:bCs/>
        </w:rPr>
        <w:t>Overview of stocks:</w:t>
      </w:r>
    </w:p>
    <w:p w:rsidRPr="007552D1" w:rsidR="007552D1" w:rsidP="007552D1" w:rsidRDefault="007552D1" w14:paraId="24AA0AF3" w14:textId="77777777">
      <w:r w:rsidRPr="007552D1">
        <w:t>The portfolio consists of three multinational corporations operating primarily within the technology and entertainment sectors: Microsoft, Oracle, and Sony Group. Each firm operates in a distinct but interconnected segment of the global digital economy, providing a degree of diversification within the portfolio.</w:t>
      </w:r>
    </w:p>
    <w:p w:rsidRPr="007552D1" w:rsidR="007552D1" w:rsidP="007552D1" w:rsidRDefault="007552D1" w14:paraId="2A72D389" w14:textId="77777777">
      <w:r w:rsidRPr="007552D1">
        <w:t>Microsoft is a leading global technology company specialising in cloud computing, enterprise software, and artificial intelligence. Its Azure cloud platform and integration of AI across its products have positioned the firm as a dominant player in the rapidly expanding cloud computing market. The company has demonstrated strong revenue growth, largely driven by increasing demand for cloud-based services and AI infrastructure. Furthermore, its diversified business model, which includes productivity software and gaming, contributes to relatively stable financial performance. However, significant capital expenditure associated with AI infrastructure development may place short-term pressure on profit margins.</w:t>
      </w:r>
    </w:p>
    <w:p w:rsidRPr="007552D1" w:rsidR="007552D1" w:rsidP="007552D1" w:rsidRDefault="007552D1" w14:paraId="1229FEA5" w14:textId="77777777">
      <w:r w:rsidRPr="007552D1">
        <w:t>Oracle operates within the enterprise software and cloud infrastructure industry and is currently undergoing a strategic transition from traditional database services to cloud-based solutions. The firm has experienced substantial growth in its cloud segment, particularly in cloud infrastructure, supported by increasing demand for AI-related services. Despite these positive developments, Oracle faces challenges including high capital expenditure and periods of negative free cash flow, which introduce additional financial risk. As such, while the company offers strong growth potential, it is also subject to higher volatility compared to more established cloud leaders.</w:t>
      </w:r>
    </w:p>
    <w:p w:rsidRPr="007552D1" w:rsidR="007552D1" w:rsidP="007552D1" w:rsidRDefault="007552D1" w14:paraId="701ACB8B" w14:textId="77777777">
      <w:r w:rsidRPr="007552D1">
        <w:t>Sony Group is a diversified multinational corporation with operations spanning gaming, music, film, and electronics. In recent years, Sony has increasingly focused on its entertainment divisions, particularly its PlayStation gaming platform and media content businesses. This strategic shift has contributed to revenue and profit growth, driven by digital distribution and subscription-based services. Compared to the other stocks in the portfolio, Sony provides exposure to the entertainment industry, thereby enhancing diversification. Nevertheless, its performance is more sensitive to consumer demand and cyclical trends in media and electronics markets.</w:t>
      </w:r>
    </w:p>
    <w:p w:rsidR="007552D1" w:rsidP="007552D1" w:rsidRDefault="007552D1" w14:paraId="4EFF77E6" w14:textId="77777777">
      <w:r w:rsidRPr="007552D1">
        <w:lastRenderedPageBreak/>
        <w:t>From an industry perspective, all three companies are influenced by key global trends, including the expansion of cloud computing, the rapid development of artificial intelligence, and the growth of digital entertainment. While these sectors present significant opportunities for growth, they also require substantial investment and are characterised by increasing competition and market uncertainty.</w:t>
      </w:r>
    </w:p>
    <w:p w:rsidR="00D412DC" w:rsidP="007552D1" w:rsidRDefault="00D412DC" w14:paraId="230F4F85" w14:textId="77777777"/>
    <w:p w:rsidR="00D412DC" w:rsidP="007552D1" w:rsidRDefault="00D412DC" w14:paraId="138B9E30" w14:textId="73A9BBDA">
      <w:pPr>
        <w:rPr>
          <w:b/>
          <w:bCs/>
        </w:rPr>
      </w:pPr>
      <w:r>
        <w:rPr>
          <w:b/>
          <w:bCs/>
        </w:rPr>
        <w:t>Financial Times News:</w:t>
      </w:r>
    </w:p>
    <w:p w:rsidR="00D412DC" w:rsidP="007552D1" w:rsidRDefault="00D412DC" w14:paraId="631812E0" w14:textId="6DC29C51">
      <w:hyperlink w:history="1" r:id="rId5">
        <w:r w:rsidRPr="00D412DC">
          <w:rPr>
            <w:rStyle w:val="Hyperlink"/>
            <w:b/>
            <w:bCs/>
          </w:rPr>
          <w:t>ORCL</w:t>
        </w:r>
      </w:hyperlink>
      <w:r>
        <w:rPr>
          <w:b/>
          <w:bCs/>
        </w:rPr>
        <w:t xml:space="preserve"> </w:t>
      </w:r>
      <w:r w:rsidRPr="00D412DC">
        <w:t>– Shares rally from MAR 10</w:t>
      </w:r>
      <w:r>
        <w:rPr>
          <w:b/>
          <w:bCs/>
        </w:rPr>
        <w:t xml:space="preserve"> </w:t>
      </w:r>
      <w:r>
        <w:t>2026 which is seen in our data (INCLUDE)</w:t>
      </w:r>
    </w:p>
    <w:p w:rsidR="00D412DC" w:rsidP="007552D1" w:rsidRDefault="00D412DC" w14:paraId="6B158EC7" w14:textId="730FBEC9">
      <w:hyperlink w:history="1" r:id="rId6">
        <w:r w:rsidRPr="00D412DC">
          <w:rPr>
            <w:rStyle w:val="Hyperlink"/>
            <w:b/>
            <w:bCs/>
          </w:rPr>
          <w:t>SONY</w:t>
        </w:r>
      </w:hyperlink>
      <w:r>
        <w:t xml:space="preserve"> – SONY £2bn lawsuit for overcharging on PS games</w:t>
      </w:r>
    </w:p>
    <w:p w:rsidRPr="00D412DC" w:rsidR="00D412DC" w:rsidP="007552D1" w:rsidRDefault="00D412DC" w14:paraId="17639FD2" w14:textId="07E130F4">
      <w:hyperlink w:history="1" r:id="rId7">
        <w:r w:rsidRPr="00D412DC">
          <w:rPr>
            <w:rStyle w:val="Hyperlink"/>
            <w:b/>
            <w:bCs/>
          </w:rPr>
          <w:t>MSFT</w:t>
        </w:r>
      </w:hyperlink>
      <w:r>
        <w:rPr>
          <w:b/>
          <w:bCs/>
        </w:rPr>
        <w:t xml:space="preserve"> </w:t>
      </w:r>
      <w:r>
        <w:t xml:space="preserve">– Despite rise in revenue MSFT experienced a fall in investing sentiment due to 66% surge in data centre spending and slower expected cloud growth </w:t>
      </w:r>
    </w:p>
    <w:p w:rsidR="007552D1" w:rsidP="007552D1" w:rsidRDefault="007552D1" w14:paraId="69EBB237" w14:textId="49E3F9BB">
      <w:pPr>
        <w:rPr>
          <w:b/>
          <w:bCs/>
        </w:rPr>
      </w:pPr>
      <w:r>
        <w:rPr>
          <w:b/>
          <w:bCs/>
        </w:rPr>
        <w:t>Interpretation of the descriptive statistics:</w:t>
      </w:r>
    </w:p>
    <w:p w:rsidR="007552D1" w:rsidP="007552D1" w:rsidRDefault="007552D1" w14:paraId="1327A85F" w14:textId="50F2935E">
      <w:r w:rsidRPr="007552D1">
        <w:t>The descriptive statistics for Microsoft, Oracle, and Sony Group are based on daily logarithmic returns calculated using the formula ln(</w:t>
      </w:r>
      <w:r w:rsidR="009A1CF1">
        <w:t>P</w:t>
      </w:r>
      <w:r w:rsidRPr="007552D1">
        <w:t>t) − ln(</w:t>
      </w:r>
      <w:r w:rsidR="009A1CF1">
        <w:t>P</w:t>
      </w:r>
      <w:r w:rsidRPr="007552D1">
        <w:t>t−1) over the period 24/03/2025 to 20/03/2026. These statistics provide insight into the return characteristics, risk profile, and relationships between the selected stocks.</w:t>
      </w:r>
    </w:p>
    <w:p w:rsidR="007552D1" w:rsidP="007552D1" w:rsidRDefault="007552D1" w14:paraId="793A7B74" w14:textId="77777777"/>
    <w:p w:rsidR="007552D1" w:rsidP="007552D1" w:rsidRDefault="007552D1" w14:paraId="17C835F6" w14:textId="13D3A074">
      <w:pPr>
        <w:rPr>
          <w:b/>
          <w:bCs/>
        </w:rPr>
      </w:pPr>
      <w:r>
        <w:rPr>
          <w:b/>
          <w:bCs/>
        </w:rPr>
        <w:t>Mean Return:</w:t>
      </w:r>
    </w:p>
    <w:p w:rsidRPr="007552D1" w:rsidR="007552D1" w:rsidP="007552D1" w:rsidRDefault="007552D1" w14:paraId="43EC9FFC" w14:textId="77777777">
      <w:r w:rsidRPr="007552D1">
        <w:t>The mean return represents the average daily return of each stock. All three stocks exhibit slightly negative mean returns over the sample period:</w:t>
      </w:r>
    </w:p>
    <w:p w:rsidRPr="007552D1" w:rsidR="007552D1" w:rsidP="007552D1" w:rsidRDefault="007552D1" w14:paraId="67C27032" w14:textId="77777777">
      <w:pPr>
        <w:numPr>
          <w:ilvl w:val="0"/>
          <w:numId w:val="1"/>
        </w:numPr>
      </w:pPr>
      <w:r w:rsidRPr="007552D1">
        <w:t xml:space="preserve">Microsoft: −0.011620% </w:t>
      </w:r>
    </w:p>
    <w:p w:rsidRPr="007552D1" w:rsidR="007552D1" w:rsidP="007552D1" w:rsidRDefault="007552D1" w14:paraId="29570C5A" w14:textId="77777777">
      <w:pPr>
        <w:numPr>
          <w:ilvl w:val="0"/>
          <w:numId w:val="1"/>
        </w:numPr>
      </w:pPr>
      <w:r w:rsidRPr="007552D1">
        <w:t xml:space="preserve">Oracle: −0.013689% </w:t>
      </w:r>
    </w:p>
    <w:p w:rsidRPr="007552D1" w:rsidR="007552D1" w:rsidP="007552D1" w:rsidRDefault="007552D1" w14:paraId="0B81988A" w14:textId="77777777">
      <w:pPr>
        <w:numPr>
          <w:ilvl w:val="0"/>
          <w:numId w:val="1"/>
        </w:numPr>
      </w:pPr>
      <w:r w:rsidRPr="007552D1">
        <w:t xml:space="preserve">Sony: −0.079431% </w:t>
      </w:r>
    </w:p>
    <w:p w:rsidRPr="007552D1" w:rsidR="007552D1" w:rsidP="007552D1" w:rsidRDefault="007552D1" w14:paraId="05C59052" w14:textId="77777777">
      <w:r w:rsidRPr="007552D1">
        <w:t>These values suggest that, on average, stock prices experienced marginal daily declines during the period. However, the magnitude of these returns is very small, which is typical for daily log returns. Therefore, these results should not be interpreted as significant long-term underperformance, but rather as short-term fluctuations within the selected timeframe. Sony displays the most negative mean return, indicating comparatively weaker performance relative to Microsoft and Oracle.</w:t>
      </w:r>
    </w:p>
    <w:p w:rsidR="007552D1" w:rsidP="007552D1" w:rsidRDefault="007552D1" w14:paraId="0AB58984" w14:textId="77777777">
      <w:pPr>
        <w:rPr>
          <w:b/>
          <w:bCs/>
        </w:rPr>
      </w:pPr>
    </w:p>
    <w:p w:rsidR="007552D1" w:rsidP="007552D1" w:rsidRDefault="007552D1" w14:paraId="46CDF42D" w14:textId="67C232E2">
      <w:pPr>
        <w:rPr>
          <w:b/>
          <w:bCs/>
        </w:rPr>
      </w:pPr>
      <w:r>
        <w:rPr>
          <w:b/>
          <w:bCs/>
        </w:rPr>
        <w:t>Variance and Standard Deviation:</w:t>
      </w:r>
    </w:p>
    <w:p w:rsidRPr="007552D1" w:rsidR="007552D1" w:rsidP="007552D1" w:rsidRDefault="007552D1" w14:paraId="771DC5C2" w14:textId="77777777">
      <w:r w:rsidRPr="007552D1">
        <w:t>Variance and standard deviation measure the dispersion of returns and are key indicators of risk. The reported standard deviations are as follows:</w:t>
      </w:r>
    </w:p>
    <w:p w:rsidRPr="007552D1" w:rsidR="007552D1" w:rsidP="007552D1" w:rsidRDefault="007552D1" w14:paraId="4C389FA2" w14:textId="77777777">
      <w:pPr>
        <w:numPr>
          <w:ilvl w:val="0"/>
          <w:numId w:val="2"/>
        </w:numPr>
      </w:pPr>
      <w:r w:rsidRPr="007552D1">
        <w:lastRenderedPageBreak/>
        <w:t xml:space="preserve">Microsoft: 1.659% </w:t>
      </w:r>
    </w:p>
    <w:p w:rsidRPr="007552D1" w:rsidR="007552D1" w:rsidP="007552D1" w:rsidRDefault="007552D1" w14:paraId="3350E2F1" w14:textId="77777777">
      <w:pPr>
        <w:numPr>
          <w:ilvl w:val="0"/>
          <w:numId w:val="2"/>
        </w:numPr>
      </w:pPr>
      <w:r w:rsidRPr="007552D1">
        <w:t xml:space="preserve">Oracle: 3.700% </w:t>
      </w:r>
    </w:p>
    <w:p w:rsidRPr="007552D1" w:rsidR="007552D1" w:rsidP="007552D1" w:rsidRDefault="007552D1" w14:paraId="411F1044" w14:textId="77777777">
      <w:pPr>
        <w:numPr>
          <w:ilvl w:val="0"/>
          <w:numId w:val="2"/>
        </w:numPr>
      </w:pPr>
      <w:r w:rsidRPr="007552D1">
        <w:t xml:space="preserve">Sony: 1.914% </w:t>
      </w:r>
    </w:p>
    <w:p w:rsidRPr="007552D1" w:rsidR="007552D1" w:rsidP="007552D1" w:rsidRDefault="007552D1" w14:paraId="5FBFDCF0" w14:textId="77777777">
      <w:r w:rsidRPr="007552D1">
        <w:t>Oracle demonstrates substantially higher volatility than the other two stocks, indicating greater uncertainty and risk in its returns. This is consistent with its strategic transition toward cloud computing and AI infrastructure, which involves significant investment and market uncertainty. Microsoft exhibits the lowest standard deviation, reflecting relatively stable performance as a mature and diversified technology firm. Sony’s volatility lies between the two, suggesting a moderate risk profile influenced by both technology and consumer-driven entertainment markets.</w:t>
      </w:r>
    </w:p>
    <w:p w:rsidRPr="007552D1" w:rsidR="007552D1" w:rsidP="007552D1" w:rsidRDefault="007552D1" w14:paraId="5E8BD407" w14:textId="77777777">
      <w:r w:rsidRPr="007552D1">
        <w:t>The variance values correspond appropriately to the standard deviations, confirming the internal consistency and accuracy of the calculations.</w:t>
      </w:r>
    </w:p>
    <w:p w:rsidRPr="007552D1" w:rsidR="007552D1" w:rsidP="007552D1" w:rsidRDefault="007552D1" w14:paraId="144E2BD2" w14:textId="77777777">
      <w:pPr>
        <w:rPr>
          <w:b/>
          <w:bCs/>
        </w:rPr>
      </w:pPr>
    </w:p>
    <w:p w:rsidR="007552D1" w:rsidP="007552D1" w:rsidRDefault="007552D1" w14:paraId="7F856350" w14:textId="483239E6">
      <w:pPr>
        <w:rPr>
          <w:b/>
          <w:bCs/>
        </w:rPr>
      </w:pPr>
      <w:r>
        <w:rPr>
          <w:b/>
          <w:bCs/>
        </w:rPr>
        <w:t>Covariance Analysis:</w:t>
      </w:r>
    </w:p>
    <w:p w:rsidRPr="007552D1" w:rsidR="007552D1" w:rsidP="007552D1" w:rsidRDefault="007552D1" w14:paraId="357238F4" w14:textId="77777777">
      <w:r w:rsidRPr="007552D1">
        <w:t>The covariance matrix indicates the degree to which the returns of the stocks move together:</w:t>
      </w:r>
    </w:p>
    <w:p w:rsidRPr="007552D1" w:rsidR="007552D1" w:rsidP="007552D1" w:rsidRDefault="007552D1" w14:paraId="79FFA7BA" w14:textId="77777777">
      <w:pPr>
        <w:numPr>
          <w:ilvl w:val="0"/>
          <w:numId w:val="3"/>
        </w:numPr>
      </w:pPr>
      <w:r w:rsidRPr="007552D1">
        <w:t xml:space="preserve">Microsoft &amp; Oracle: 0.024862% </w:t>
      </w:r>
    </w:p>
    <w:p w:rsidRPr="007552D1" w:rsidR="007552D1" w:rsidP="007552D1" w:rsidRDefault="007552D1" w14:paraId="5FD28886" w14:textId="77777777">
      <w:pPr>
        <w:numPr>
          <w:ilvl w:val="0"/>
          <w:numId w:val="3"/>
        </w:numPr>
      </w:pPr>
      <w:r w:rsidRPr="007552D1">
        <w:t xml:space="preserve">Microsoft &amp; Sony: 0.008927% </w:t>
      </w:r>
    </w:p>
    <w:p w:rsidRPr="007552D1" w:rsidR="007552D1" w:rsidP="007552D1" w:rsidRDefault="007552D1" w14:paraId="2ACC638F" w14:textId="77777777">
      <w:pPr>
        <w:numPr>
          <w:ilvl w:val="0"/>
          <w:numId w:val="3"/>
        </w:numPr>
      </w:pPr>
      <w:r w:rsidRPr="007552D1">
        <w:t xml:space="preserve">Oracle &amp; Sony: 0.014469% </w:t>
      </w:r>
    </w:p>
    <w:p w:rsidRPr="007552D1" w:rsidR="007552D1" w:rsidP="007552D1" w:rsidRDefault="007552D1" w14:paraId="7E14277B" w14:textId="77777777">
      <w:r w:rsidRPr="007552D1">
        <w:t>All covariance values are positive, suggesting that the stocks tend to move in the same direction. However, the relatively low magnitude of these values indicates that the strength of this co-movement is limited, particularly between Microsoft and Sony.</w:t>
      </w:r>
    </w:p>
    <w:p w:rsidR="007552D1" w:rsidP="007552D1" w:rsidRDefault="007552D1" w14:paraId="1DE13998" w14:textId="77777777"/>
    <w:p w:rsidR="007552D1" w:rsidP="007552D1" w:rsidRDefault="007552D1" w14:paraId="3FCBAFDD" w14:textId="316F549D">
      <w:pPr>
        <w:rPr>
          <w:b/>
          <w:bCs/>
        </w:rPr>
      </w:pPr>
      <w:r>
        <w:rPr>
          <w:b/>
          <w:bCs/>
        </w:rPr>
        <w:t>Correlation Analysis:</w:t>
      </w:r>
    </w:p>
    <w:p w:rsidRPr="007552D1" w:rsidR="007552D1" w:rsidP="007552D1" w:rsidRDefault="007552D1" w14:paraId="0B939172" w14:textId="77777777">
      <w:r w:rsidRPr="007552D1">
        <w:t>The correlation matrix provides a standardised measure of the linear relationship between the stocks:</w:t>
      </w:r>
    </w:p>
    <w:p w:rsidRPr="007552D1" w:rsidR="007552D1" w:rsidP="007552D1" w:rsidRDefault="007552D1" w14:paraId="373F68DA" w14:textId="77777777">
      <w:pPr>
        <w:numPr>
          <w:ilvl w:val="0"/>
          <w:numId w:val="4"/>
        </w:numPr>
      </w:pPr>
      <w:r w:rsidRPr="007552D1">
        <w:t xml:space="preserve">Microsoft &amp; Oracle: 0.405 </w:t>
      </w:r>
    </w:p>
    <w:p w:rsidRPr="007552D1" w:rsidR="007552D1" w:rsidP="007552D1" w:rsidRDefault="007552D1" w14:paraId="16A65401" w14:textId="77777777">
      <w:pPr>
        <w:numPr>
          <w:ilvl w:val="0"/>
          <w:numId w:val="4"/>
        </w:numPr>
      </w:pPr>
      <w:r w:rsidRPr="007552D1">
        <w:t xml:space="preserve">Microsoft &amp; Sony: 0.281 </w:t>
      </w:r>
    </w:p>
    <w:p w:rsidRPr="007552D1" w:rsidR="007552D1" w:rsidP="007552D1" w:rsidRDefault="007552D1" w14:paraId="05F177EB" w14:textId="77777777">
      <w:pPr>
        <w:numPr>
          <w:ilvl w:val="0"/>
          <w:numId w:val="4"/>
        </w:numPr>
      </w:pPr>
      <w:r w:rsidRPr="007552D1">
        <w:t xml:space="preserve">Oracle &amp; Sony: 0.204 </w:t>
      </w:r>
    </w:p>
    <w:p w:rsidRPr="007552D1" w:rsidR="007552D1" w:rsidP="007552D1" w:rsidRDefault="007552D1" w14:paraId="1B9225C6" w14:textId="77777777">
      <w:r w:rsidRPr="007552D1">
        <w:t xml:space="preserve">These results indicate moderate correlation between Microsoft and Oracle, likely due to their shared exposure to the technology and cloud computing sectors. In contrast, </w:t>
      </w:r>
      <w:r w:rsidRPr="007552D1">
        <w:lastRenderedPageBreak/>
        <w:t>Sony exhibits weaker correlations with both Microsoft and Oracle, reflecting its diversification into entertainment and media industries.</w:t>
      </w:r>
    </w:p>
    <w:p w:rsidRPr="007552D1" w:rsidR="007552D1" w:rsidP="007552D1" w:rsidRDefault="007552D1" w14:paraId="50BFE7A2" w14:textId="77777777">
      <w:r w:rsidRPr="007552D1">
        <w:t>From a portfolio perspective, these relatively low to moderate correlations are advantageous, as they suggest that the stocks do not move perfectly together, thereby reducing overall portfolio risk through diversification.</w:t>
      </w:r>
    </w:p>
    <w:p w:rsidR="007552D1" w:rsidP="007552D1" w:rsidRDefault="007552D1" w14:paraId="09ADC716" w14:textId="77777777">
      <w:pPr>
        <w:rPr>
          <w:b/>
          <w:bCs/>
        </w:rPr>
      </w:pPr>
    </w:p>
    <w:p w:rsidR="007552D1" w:rsidP="007552D1" w:rsidRDefault="007552D1" w14:paraId="34462FD2" w14:textId="050C6959">
      <w:pPr>
        <w:rPr>
          <w:b/>
          <w:bCs/>
        </w:rPr>
      </w:pPr>
      <w:r w:rsidRPr="007552D1">
        <w:rPr>
          <w:b/>
          <w:bCs/>
        </w:rPr>
        <w:t>Evaluation of Results</w:t>
      </w:r>
      <w:r>
        <w:rPr>
          <w:b/>
          <w:bCs/>
        </w:rPr>
        <w:t>:</w:t>
      </w:r>
    </w:p>
    <w:p w:rsidRPr="007552D1" w:rsidR="007552D1" w:rsidP="007552D1" w:rsidRDefault="007552D1" w14:paraId="5C000D0F" w14:textId="77777777">
      <w:r w:rsidRPr="007552D1">
        <w:t>The descriptive statistics appear reasonable and consistent with expectations for daily logarithmic returns:</w:t>
      </w:r>
    </w:p>
    <w:p w:rsidRPr="007552D1" w:rsidR="007552D1" w:rsidP="007552D1" w:rsidRDefault="007552D1" w14:paraId="0901DCB5" w14:textId="77777777">
      <w:r w:rsidRPr="007552D1">
        <w:t>First, mean returns are close to zero, which is typical for high-frequency (daily) financial data. The slightly negative values may reflect short-term market conditions rather than long-term trends.</w:t>
      </w:r>
    </w:p>
    <w:p w:rsidRPr="007552D1" w:rsidR="007552D1" w:rsidP="007552D1" w:rsidRDefault="007552D1" w14:paraId="277CC095" w14:textId="77777777">
      <w:r w:rsidRPr="007552D1">
        <w:t>Second, the standard deviation values fall within a realistic range for equity markets. Oracle’s higher volatility is consistent with a growth-oriented firm undergoing strategic transformation, while Microsoft’s lower volatility reflects its established market position. Sony’s intermediate volatility aligns with its hybrid business model.</w:t>
      </w:r>
    </w:p>
    <w:p w:rsidRPr="007552D1" w:rsidR="007552D1" w:rsidP="007552D1" w:rsidRDefault="007552D1" w14:paraId="77F4C9C6" w14:textId="77777777">
      <w:r w:rsidRPr="007552D1">
        <w:t>Third, the positive but moderate correlations are economically intuitive. Firms operating within similar sectors, such as Microsoft and Oracle, exhibit stronger relationships, while Sony provides diversification due to its exposure to different industries.</w:t>
      </w:r>
    </w:p>
    <w:p w:rsidRPr="007552D1" w:rsidR="007552D1" w:rsidP="007552D1" w:rsidRDefault="007552D1" w14:paraId="04EDB33C" w14:textId="77777777">
      <w:r w:rsidRPr="007552D1">
        <w:t>Finally, the use of logarithmic returns (ln(pt) − ln(pt−1)) is appropriate, as it ensures time-additivity and is widely used in financial analysis. The scale and consistency of the results suggest that the calculations have been performed correctly.</w:t>
      </w:r>
    </w:p>
    <w:p w:rsidR="007552D1" w:rsidP="007552D1" w:rsidRDefault="007552D1" w14:paraId="309F2D81" w14:textId="77777777">
      <w:pPr>
        <w:rPr>
          <w:b/>
          <w:bCs/>
        </w:rPr>
      </w:pPr>
    </w:p>
    <w:p w:rsidR="007552D1" w:rsidP="4DB9A248" w:rsidRDefault="007552D1" w14:paraId="07B41B29" w14:textId="17F0A1AB">
      <w:pPr>
        <w:rPr>
          <w:b/>
          <w:bCs/>
        </w:rPr>
      </w:pPr>
      <w:r w:rsidRPr="007552D1">
        <w:rPr>
          <w:b/>
          <w:bCs/>
        </w:rPr>
        <w:t>Overall Interpretation</w:t>
      </w:r>
      <w:r>
        <w:rPr>
          <w:b/>
          <w:bCs/>
        </w:rPr>
        <w:t>:</w:t>
      </w:r>
    </w:p>
    <w:p w:rsidRPr="007552D1" w:rsidR="007552D1" w:rsidP="007552D1" w:rsidRDefault="007552D1" w14:paraId="1109C5D1" w14:textId="77777777">
      <w:r w:rsidRPr="007552D1">
        <w:t>In summary, the analysis indicates that Microsoft is the least risky stock, characterised by relatively stable returns and lower volatility. Oracle is the most volatile, offering higher potential returns but at the cost of increased risk. Sony Group provides a moderate risk-return profile and contributes to diversification due to its weaker correlation with the other stocks.</w:t>
      </w:r>
    </w:p>
    <w:p w:rsidRPr="007552D1" w:rsidR="007552D1" w:rsidP="007552D1" w:rsidRDefault="007552D1" w14:paraId="3EF6A623" w14:textId="77777777">
      <w:r w:rsidRPr="007552D1">
        <w:t>Overall, the portfolio demonstrates a balanced combination of risk and return, with meaningful diversification benefits arising from differences in industry exposure and return behaviour.</w:t>
      </w:r>
    </w:p>
    <w:p w:rsidR="007552D1" w:rsidP="007552D1" w:rsidRDefault="007552D1" w14:paraId="0C7A19A3" w14:textId="77777777">
      <w:pPr>
        <w:rPr>
          <w:b/>
          <w:bCs/>
        </w:rPr>
      </w:pPr>
    </w:p>
    <w:p w:rsidR="00D412DC" w:rsidP="007552D1" w:rsidRDefault="00D412DC" w14:paraId="0E83FB19" w14:textId="287AE58D">
      <w:pPr>
        <w:rPr>
          <w:b/>
          <w:bCs/>
          <w:sz w:val="28"/>
          <w:szCs w:val="28"/>
          <w:u w:val="single"/>
        </w:rPr>
      </w:pPr>
      <w:r w:rsidRPr="00D412DC">
        <w:rPr>
          <w:b/>
          <w:bCs/>
          <w:sz w:val="28"/>
          <w:szCs w:val="28"/>
          <w:u w:val="single"/>
        </w:rPr>
        <w:lastRenderedPageBreak/>
        <w:t>Analysis of portfolio</w:t>
      </w:r>
      <w:r>
        <w:rPr>
          <w:b/>
          <w:bCs/>
          <w:sz w:val="28"/>
          <w:szCs w:val="28"/>
          <w:u w:val="single"/>
        </w:rPr>
        <w:t>:</w:t>
      </w:r>
    </w:p>
    <w:p w:rsidR="00D412DC" w:rsidP="007552D1" w:rsidRDefault="00CA50E9" w14:paraId="5B642B18" w14:textId="2F6F6B1B">
      <w:pPr>
        <w:rPr>
          <w:b/>
          <w:bCs/>
        </w:rPr>
      </w:pPr>
      <w:r w:rsidRPr="4F0964B3" w:rsidR="260891AF">
        <w:rPr>
          <w:b w:val="1"/>
          <w:bCs w:val="1"/>
        </w:rPr>
        <w:t xml:space="preserve">Reasons for </w:t>
      </w:r>
      <w:r w:rsidRPr="4F0964B3" w:rsidR="17C4D29C">
        <w:rPr>
          <w:b w:val="1"/>
          <w:bCs w:val="1"/>
        </w:rPr>
        <w:t xml:space="preserve">investing in a </w:t>
      </w:r>
      <w:r w:rsidRPr="4F0964B3" w:rsidR="3E31532C">
        <w:rPr>
          <w:b w:val="1"/>
          <w:bCs w:val="1"/>
        </w:rPr>
        <w:t>portfolio instead of one stock only:</w:t>
      </w:r>
    </w:p>
    <w:p w:rsidRPr="00B406F2" w:rsidR="00B406F2" w:rsidP="4F0964B3" w:rsidRDefault="00B406F2" w14:paraId="3481AAFA" w14:textId="2B3EF143">
      <w:pPr>
        <w:pStyle w:val="Normal"/>
        <w:suppressLineNumbers w:val="0"/>
        <w:bidi w:val="0"/>
        <w:spacing w:before="0" w:beforeAutospacing="off" w:after="160" w:afterAutospacing="off" w:line="279" w:lineRule="auto"/>
        <w:ind w:left="0" w:right="0"/>
        <w:jc w:val="left"/>
      </w:pPr>
      <w:r w:rsidR="6BC378A9">
        <w:rPr/>
        <w:t>Firstly</w:t>
      </w:r>
      <w:r w:rsidR="33B9598C">
        <w:rPr/>
        <w:t xml:space="preserve">, a portfolio reduces overall volatility. The standard deviation of Oracle (3.700%) is significantly higher than Microsoft (1.659%) and Sony (1.914%), </w:t>
      </w:r>
      <w:r w:rsidR="33B9598C">
        <w:rPr/>
        <w:t>indicating</w:t>
      </w:r>
      <w:r w:rsidR="33B9598C">
        <w:rPr/>
        <w:t xml:space="preserve"> that Oracle is much riskier. By combining these assets, the higher volatility of Oracle is partially offset by the stability of Microsoft, resulting in a more stable portfolio than any individual high-risk stock.</w:t>
      </w:r>
    </w:p>
    <w:p w:rsidRPr="00B406F2" w:rsidR="00B406F2" w:rsidP="4F0964B3" w:rsidRDefault="00B406F2" w14:paraId="6D88F9A1" w14:textId="1478BC17">
      <w:pPr>
        <w:pStyle w:val="Normal"/>
        <w:suppressLineNumbers w:val="0"/>
        <w:bidi w:val="0"/>
        <w:spacing w:before="0" w:beforeAutospacing="off" w:after="160" w:afterAutospacing="off" w:line="279" w:lineRule="auto"/>
        <w:ind w:left="0" w:right="0"/>
        <w:jc w:val="left"/>
      </w:pPr>
      <w:r w:rsidR="26046CFC">
        <w:rPr/>
        <w:t>Secondly</w:t>
      </w:r>
      <w:r w:rsidR="33B9598C">
        <w:rPr/>
        <w:t xml:space="preserve">, investing in a portfolio protects against firm-specific risk. Each company in the dataset faces different risks, such as Microsoft’s high AI investment costs, Oracle’s financial uncertainty due to negative free cash flow, and Sony’s exposure to consumer demand fluctuations. Holding only one stock would expose the investor entirely to these risks, </w:t>
      </w:r>
      <w:r w:rsidR="33B9598C">
        <w:rPr/>
        <w:t>whereas</w:t>
      </w:r>
      <w:r w:rsidR="33B9598C">
        <w:rPr/>
        <w:t xml:space="preserve"> a portfolio spreads this exposure.</w:t>
      </w:r>
    </w:p>
    <w:p w:rsidRPr="00B406F2" w:rsidR="00B406F2" w:rsidP="4F0964B3" w:rsidRDefault="00B406F2" w14:paraId="3ADD9A43" w14:textId="41D5ABB4">
      <w:pPr>
        <w:pStyle w:val="Normal"/>
        <w:suppressLineNumbers w:val="0"/>
        <w:bidi w:val="0"/>
        <w:spacing w:before="0" w:beforeAutospacing="off" w:after="160" w:afterAutospacing="off" w:line="279" w:lineRule="auto"/>
        <w:ind w:left="0" w:right="0"/>
        <w:jc w:val="left"/>
      </w:pPr>
      <w:r w:rsidR="05BC9183">
        <w:rPr/>
        <w:t>Thirdly</w:t>
      </w:r>
      <w:r w:rsidR="33B9598C">
        <w:rPr/>
        <w:t xml:space="preserve">, diversification across industries further reduces risk. While Microsoft and Oracle are concentrated in cloud computing and enterprise technology, Sony </w:t>
      </w:r>
      <w:r w:rsidR="33B9598C">
        <w:rPr/>
        <w:t>operates</w:t>
      </w:r>
      <w:r w:rsidR="33B9598C">
        <w:rPr/>
        <w:t xml:space="preserve"> in entertainment and gaming. This difference in business activities explains the lower correlations and enhances diversification benefits within the portfolio.</w:t>
      </w:r>
    </w:p>
    <w:p w:rsidRPr="00B406F2" w:rsidR="00B406F2" w:rsidP="4F0964B3" w:rsidRDefault="00B406F2" w14:paraId="6273D115" w14:textId="6F6243F3">
      <w:pPr>
        <w:pStyle w:val="Normal"/>
        <w:suppressLineNumbers w:val="0"/>
        <w:bidi w:val="0"/>
        <w:spacing w:before="0" w:beforeAutospacing="off" w:after="160" w:afterAutospacing="off" w:line="279" w:lineRule="auto"/>
        <w:ind w:left="0" w:right="0"/>
        <w:jc w:val="left"/>
      </w:pPr>
      <w:r w:rsidR="219AC1DC">
        <w:rPr/>
        <w:t>Fourthly</w:t>
      </w:r>
      <w:r w:rsidR="33B9598C">
        <w:rPr/>
        <w:t xml:space="preserve">, a portfolio improves the risk–return trade-off. The data shows that Microsoft has low volatility, Oracle has </w:t>
      </w:r>
      <w:r w:rsidR="33B9598C">
        <w:rPr/>
        <w:t>high risk</w:t>
      </w:r>
      <w:r w:rsidR="33B9598C">
        <w:rPr/>
        <w:t xml:space="preserve"> but potential for higher returns, and Sony offers a moderate profile. Combining these stocks allows investors to achieve a more balanced and efficient outcome than investing in only one stock.</w:t>
      </w:r>
    </w:p>
    <w:p w:rsidRPr="00B406F2" w:rsidR="00B406F2" w:rsidP="00B406F2" w:rsidRDefault="00B406F2" w14:paraId="1028FD2E" w14:textId="76AECA3D">
      <w:r w:rsidRPr="00B406F2">
        <w:t>Finally, a portfolio reduces the impact of company-specific news. For example, Oracle experienced a share price rally, Sony faced a lawsuit, and Microsoft saw declining investor sentiment despite revenue growth. In a portfolio, such events have a smaller overall effect compared to investing in a single stock.</w:t>
      </w:r>
    </w:p>
    <w:p w:rsidR="00510743" w:rsidP="007552D1" w:rsidRDefault="00E02374" w14:paraId="73A9C22B" w14:textId="5021BC4B">
      <w:r w:rsidRPr="00E02374">
        <w:t>Overall, the data demonstrates that a diversified portfolio reduces risk, lowers volatility, and provides a more efficient balance between risk and return. Therefore, investing in a portfolio is superior to holding a single stock.</w:t>
      </w:r>
    </w:p>
    <w:p w:rsidR="00E02374" w:rsidP="007552D1" w:rsidRDefault="00E02374" w14:paraId="245B640A" w14:textId="77777777"/>
    <w:p w:rsidR="4F0964B3" w:rsidRDefault="4F0964B3" w14:paraId="34BEAE19" w14:textId="5E9AD1A8"/>
    <w:p w:rsidR="4F0964B3" w:rsidRDefault="4F0964B3" w14:paraId="47D16C03" w14:textId="6C12B77A"/>
    <w:p w:rsidR="4F0964B3" w:rsidRDefault="4F0964B3" w14:paraId="72CA547C" w14:textId="1AFBEDD0"/>
    <w:p w:rsidR="4F0964B3" w:rsidRDefault="4F0964B3" w14:paraId="5991EA93" w14:textId="14A02E43"/>
    <w:p w:rsidR="4F0964B3" w:rsidRDefault="4F0964B3" w14:paraId="062350CA" w14:textId="1DA65863"/>
    <w:p w:rsidR="6076F542" w:rsidP="6076F542" w:rsidRDefault="6076F542" w14:paraId="70DDBD69" w14:textId="3D29C868">
      <w:pPr>
        <w:pStyle w:val="Normal"/>
        <w:rPr>
          <w:b w:val="1"/>
          <w:bCs w:val="1"/>
          <w:sz w:val="28"/>
          <w:szCs w:val="28"/>
          <w:u w:val="single"/>
        </w:rPr>
      </w:pPr>
    </w:p>
    <w:p w:rsidR="788B2EF1" w:rsidP="4F0964B3" w:rsidRDefault="788B2EF1" w14:paraId="3F1613EE" w14:textId="03490DBF">
      <w:pPr>
        <w:pStyle w:val="Normal"/>
        <w:rPr>
          <w:b w:val="1"/>
          <w:bCs w:val="1"/>
          <w:sz w:val="28"/>
          <w:szCs w:val="28"/>
          <w:u w:val="single"/>
        </w:rPr>
      </w:pPr>
      <w:r w:rsidRPr="6076F542" w:rsidR="7688F78B">
        <w:rPr>
          <w:b w:val="1"/>
          <w:bCs w:val="1"/>
          <w:sz w:val="28"/>
          <w:szCs w:val="28"/>
          <w:u w:val="single"/>
        </w:rPr>
        <w:t xml:space="preserve">Efficient Vs </w:t>
      </w:r>
      <w:r w:rsidRPr="6076F542" w:rsidR="7688F78B">
        <w:rPr>
          <w:b w:val="1"/>
          <w:bCs w:val="1"/>
          <w:sz w:val="28"/>
          <w:szCs w:val="28"/>
          <w:u w:val="single"/>
        </w:rPr>
        <w:t>Inefficient</w:t>
      </w:r>
      <w:r w:rsidRPr="6076F542" w:rsidR="7688F78B">
        <w:rPr>
          <w:b w:val="1"/>
          <w:bCs w:val="1"/>
          <w:sz w:val="28"/>
          <w:szCs w:val="28"/>
          <w:u w:val="single"/>
        </w:rPr>
        <w:t xml:space="preserve"> Portfolios:</w:t>
      </w:r>
    </w:p>
    <w:p w:rsidR="25976CCB" w:rsidP="4F0964B3" w:rsidRDefault="25976CCB" w14:paraId="3B557EA6" w14:textId="0715F45D">
      <w:pPr>
        <w:pStyle w:val="Normal"/>
        <w:rPr>
          <w:rFonts w:ascii="Aptos" w:hAnsi="Aptos" w:eastAsia="Aptos" w:cs="Aptos"/>
          <w:b w:val="1"/>
          <w:bCs w:val="1"/>
          <w:noProof w:val="0"/>
          <w:sz w:val="24"/>
          <w:szCs w:val="24"/>
          <w:lang w:val="en-GB"/>
        </w:rPr>
      </w:pPr>
      <w:r w:rsidRPr="4F0964B3" w:rsidR="25976CCB">
        <w:rPr>
          <w:rFonts w:ascii="Aptos" w:hAnsi="Aptos" w:eastAsia="Aptos" w:cs="Aptos"/>
          <w:b w:val="1"/>
          <w:bCs w:val="1"/>
          <w:noProof w:val="0"/>
          <w:sz w:val="24"/>
          <w:szCs w:val="24"/>
          <w:lang w:val="en-GB"/>
        </w:rPr>
        <w:t>Three identified inefficient portfolios and their corresponding efficient portfolios are shown below:</w:t>
      </w:r>
    </w:p>
    <w:p w:rsidR="41F4CEB2" w:rsidP="4F0964B3" w:rsidRDefault="41F4CEB2" w14:paraId="3DC09AB8" w14:textId="4CC80D5E">
      <w:pPr>
        <w:pStyle w:val="Normal"/>
      </w:pPr>
      <w:r w:rsidRPr="4F0964B3" w:rsidR="41F4CEB2">
        <w:rPr>
          <w:rFonts w:ascii="Aptos" w:hAnsi="Aptos" w:eastAsia="Aptos" w:cs="Aptos"/>
          <w:noProof w:val="0"/>
          <w:sz w:val="24"/>
          <w:szCs w:val="24"/>
          <w:lang w:val="en-GB"/>
        </w:rPr>
        <w:t>Three inefficient portfolios were identified by comparing returns for portfolios with approximately the same standard deviation. A portfolio is considered inefficient if another portfolio exists with the same level of risk but a higher return.</w:t>
      </w:r>
    </w:p>
    <w:p w:rsidR="5EA5524D" w:rsidP="4F0964B3" w:rsidRDefault="5EA5524D" w14:paraId="0B667597" w14:textId="21088A83">
      <w:pPr>
        <w:pStyle w:val="Normal"/>
      </w:pPr>
      <w:r w:rsidR="5EA5524D">
        <w:rPr/>
        <w:t>For Example:</w:t>
      </w:r>
    </w:p>
    <w:p w:rsidR="01897C06" w:rsidP="4F0964B3" w:rsidRDefault="01897C06" w14:paraId="26F4BF13" w14:textId="3F8756A5">
      <w:pPr>
        <w:pStyle w:val="ListParagraph"/>
        <w:numPr>
          <w:ilvl w:val="0"/>
          <w:numId w:val="8"/>
        </w:numPr>
        <w:rPr>
          <w:sz w:val="24"/>
          <w:szCs w:val="24"/>
        </w:rPr>
      </w:pPr>
      <w:r w:rsidRPr="4F0964B3" w:rsidR="01897C06">
        <w:rPr>
          <w:sz w:val="24"/>
          <w:szCs w:val="24"/>
        </w:rPr>
        <w:t xml:space="preserve">For </w:t>
      </w:r>
      <w:r w:rsidRPr="4F0964B3" w:rsidR="5EA5524D">
        <w:rPr>
          <w:sz w:val="24"/>
          <w:szCs w:val="24"/>
        </w:rPr>
        <w:t>an estimated Standard Deviation of 0.0153, we have</w:t>
      </w:r>
      <w:r w:rsidRPr="4F0964B3" w:rsidR="3862F9A2">
        <w:rPr>
          <w:sz w:val="24"/>
          <w:szCs w:val="24"/>
        </w:rPr>
        <w:t xml:space="preserve"> </w:t>
      </w:r>
      <w:r w:rsidRPr="4F0964B3" w:rsidR="346C1C21">
        <w:rPr>
          <w:sz w:val="24"/>
          <w:szCs w:val="24"/>
        </w:rPr>
        <w:t>portfolio</w:t>
      </w:r>
      <w:r w:rsidRPr="4F0964B3" w:rsidR="3862F9A2">
        <w:rPr>
          <w:sz w:val="24"/>
          <w:szCs w:val="24"/>
        </w:rPr>
        <w:t xml:space="preserve"> returns</w:t>
      </w:r>
      <w:r w:rsidRPr="4F0964B3" w:rsidR="06B3F5F1">
        <w:rPr>
          <w:sz w:val="24"/>
          <w:szCs w:val="24"/>
        </w:rPr>
        <w:t xml:space="preserve"> (starting from highest return):</w:t>
      </w:r>
      <w:r w:rsidRPr="4F0964B3" w:rsidR="3862F9A2">
        <w:rPr>
          <w:sz w:val="24"/>
          <w:szCs w:val="24"/>
        </w:rPr>
        <w:t xml:space="preserve"> </w:t>
      </w:r>
    </w:p>
    <w:p w:rsidR="3862F9A2" w:rsidP="4F0964B3" w:rsidRDefault="3862F9A2" w14:paraId="57117B45" w14:textId="73598365">
      <w:pPr>
        <w:pStyle w:val="ListParagraph"/>
        <w:numPr>
          <w:ilvl w:val="2"/>
          <w:numId w:val="8"/>
        </w:numPr>
        <w:rPr>
          <w:sz w:val="24"/>
          <w:szCs w:val="24"/>
        </w:rPr>
      </w:pPr>
      <w:r w:rsidRPr="4F0964B3" w:rsidR="3862F9A2">
        <w:rPr>
          <w:sz w:val="24"/>
          <w:szCs w:val="24"/>
        </w:rPr>
        <w:t>-0.001154288,</w:t>
      </w:r>
      <w:r w:rsidRPr="4F0964B3" w:rsidR="6FF8E0EB">
        <w:rPr>
          <w:sz w:val="24"/>
          <w:szCs w:val="24"/>
        </w:rPr>
        <w:t xml:space="preserve"> </w:t>
      </w:r>
      <w:r w:rsidRPr="4F0964B3" w:rsidR="20E4D7F3">
        <w:rPr>
          <w:sz w:val="24"/>
          <w:szCs w:val="24"/>
        </w:rPr>
        <w:t>-0.001161069, -0.001167851, .... with</w:t>
      </w:r>
      <w:r w:rsidRPr="4F0964B3" w:rsidR="3CD72708">
        <w:rPr>
          <w:sz w:val="24"/>
          <w:szCs w:val="24"/>
        </w:rPr>
        <w:t xml:space="preserve"> -</w:t>
      </w:r>
      <w:r w:rsidRPr="4F0964B3" w:rsidR="6A7A718D">
        <w:rPr>
          <w:sz w:val="24"/>
          <w:szCs w:val="24"/>
        </w:rPr>
        <w:t xml:space="preserve">0.001154288 being the highest return. Therefore, being the most </w:t>
      </w:r>
      <w:r w:rsidRPr="4F0964B3" w:rsidR="20D5D1BC">
        <w:rPr>
          <w:sz w:val="24"/>
          <w:szCs w:val="24"/>
        </w:rPr>
        <w:t>efficient</w:t>
      </w:r>
      <w:r w:rsidRPr="4F0964B3" w:rsidR="6A7A718D">
        <w:rPr>
          <w:sz w:val="24"/>
          <w:szCs w:val="24"/>
        </w:rPr>
        <w:t xml:space="preserve"> portfolio.</w:t>
      </w:r>
    </w:p>
    <w:p w:rsidR="399FF1C2" w:rsidP="4F0964B3" w:rsidRDefault="399FF1C2" w14:paraId="0BE76743" w14:textId="7EEB21FF">
      <w:pPr>
        <w:pStyle w:val="ListParagraph"/>
        <w:numPr>
          <w:ilvl w:val="0"/>
          <w:numId w:val="8"/>
        </w:numPr>
        <w:rPr>
          <w:sz w:val="24"/>
          <w:szCs w:val="24"/>
        </w:rPr>
      </w:pPr>
      <w:r w:rsidRPr="4F0964B3" w:rsidR="399FF1C2">
        <w:rPr>
          <w:sz w:val="24"/>
          <w:szCs w:val="24"/>
        </w:rPr>
        <w:t>For an estimated Standard Deviation of 0.0154, we have portfolio returns</w:t>
      </w:r>
      <w:r w:rsidRPr="4F0964B3" w:rsidR="0C314967">
        <w:rPr>
          <w:sz w:val="24"/>
          <w:szCs w:val="24"/>
        </w:rPr>
        <w:t xml:space="preserve"> (starting from highest return</w:t>
      </w:r>
      <w:r w:rsidRPr="4F0964B3" w:rsidR="0C314967">
        <w:rPr>
          <w:sz w:val="24"/>
          <w:szCs w:val="24"/>
        </w:rPr>
        <w:t>):</w:t>
      </w:r>
      <w:r w:rsidRPr="4F0964B3" w:rsidR="399FF1C2">
        <w:rPr>
          <w:sz w:val="24"/>
          <w:szCs w:val="24"/>
        </w:rPr>
        <w:t xml:space="preserve"> </w:t>
      </w:r>
    </w:p>
    <w:p w:rsidR="399FF1C2" w:rsidP="4F0964B3" w:rsidRDefault="399FF1C2" w14:paraId="3116FB14" w14:textId="51F94991">
      <w:pPr>
        <w:pStyle w:val="ListParagraph"/>
        <w:numPr>
          <w:ilvl w:val="2"/>
          <w:numId w:val="8"/>
        </w:numPr>
        <w:rPr>
          <w:sz w:val="24"/>
          <w:szCs w:val="24"/>
        </w:rPr>
      </w:pPr>
      <w:r w:rsidRPr="4F0964B3" w:rsidR="399FF1C2">
        <w:rPr>
          <w:sz w:val="24"/>
          <w:szCs w:val="24"/>
        </w:rPr>
        <w:t>-0.001045</w:t>
      </w:r>
      <w:r w:rsidRPr="4F0964B3" w:rsidR="5ABE96FA">
        <w:rPr>
          <w:sz w:val="24"/>
          <w:szCs w:val="24"/>
        </w:rPr>
        <w:t>789</w:t>
      </w:r>
      <w:r w:rsidRPr="4F0964B3" w:rsidR="399FF1C2">
        <w:rPr>
          <w:sz w:val="24"/>
          <w:szCs w:val="24"/>
        </w:rPr>
        <w:t>, -0.00104571,</w:t>
      </w:r>
      <w:r w:rsidRPr="4F0964B3" w:rsidR="05DC2612">
        <w:rPr>
          <w:sz w:val="24"/>
          <w:szCs w:val="24"/>
        </w:rPr>
        <w:t xml:space="preserve"> -0.</w:t>
      </w:r>
      <w:r w:rsidRPr="4F0964B3" w:rsidR="25F5E7E8">
        <w:rPr>
          <w:sz w:val="24"/>
          <w:szCs w:val="24"/>
        </w:rPr>
        <w:t>001059352, ...</w:t>
      </w:r>
      <w:r w:rsidRPr="4F0964B3" w:rsidR="399FF1C2">
        <w:rPr>
          <w:sz w:val="24"/>
          <w:szCs w:val="24"/>
        </w:rPr>
        <w:t xml:space="preserve">. with </w:t>
      </w:r>
      <w:r w:rsidRPr="4F0964B3" w:rsidR="70D18353">
        <w:rPr>
          <w:sz w:val="24"/>
          <w:szCs w:val="24"/>
        </w:rPr>
        <w:t xml:space="preserve">-0.001045789 </w:t>
      </w:r>
      <w:r w:rsidRPr="4F0964B3" w:rsidR="399FF1C2">
        <w:rPr>
          <w:sz w:val="24"/>
          <w:szCs w:val="24"/>
        </w:rPr>
        <w:t>being the highest return. Therefore, being the most efficient portfolio.</w:t>
      </w:r>
    </w:p>
    <w:p w:rsidR="0B9C5955" w:rsidP="4F0964B3" w:rsidRDefault="0B9C5955" w14:paraId="4F14E4A6" w14:textId="5E37DDCE">
      <w:pPr>
        <w:pStyle w:val="ListParagraph"/>
        <w:numPr>
          <w:ilvl w:val="0"/>
          <w:numId w:val="8"/>
        </w:numPr>
        <w:rPr>
          <w:sz w:val="24"/>
          <w:szCs w:val="24"/>
        </w:rPr>
      </w:pPr>
      <w:r w:rsidRPr="4F0964B3" w:rsidR="0B9C5955">
        <w:rPr>
          <w:sz w:val="24"/>
          <w:szCs w:val="24"/>
        </w:rPr>
        <w:t>For an estimated Standard Deviation of 0.0155, we have portfolio returns (starting from highest return):</w:t>
      </w:r>
    </w:p>
    <w:p w:rsidR="0B9C5955" w:rsidP="4F0964B3" w:rsidRDefault="0B9C5955" w14:paraId="39F0FB5C" w14:textId="1BD69DFF">
      <w:pPr>
        <w:pStyle w:val="ListParagraph"/>
        <w:numPr>
          <w:ilvl w:val="2"/>
          <w:numId w:val="8"/>
        </w:numPr>
        <w:rPr>
          <w:sz w:val="24"/>
          <w:szCs w:val="24"/>
        </w:rPr>
      </w:pPr>
      <w:r w:rsidRPr="6076F542" w:rsidR="6705A95D">
        <w:rPr>
          <w:sz w:val="24"/>
          <w:szCs w:val="24"/>
        </w:rPr>
        <w:t xml:space="preserve">-0.000916947, </w:t>
      </w:r>
      <w:r w:rsidRPr="6076F542" w:rsidR="66F8DD29">
        <w:rPr>
          <w:sz w:val="24"/>
          <w:szCs w:val="24"/>
        </w:rPr>
        <w:t>-</w:t>
      </w:r>
      <w:r w:rsidRPr="6076F542" w:rsidR="6705A95D">
        <w:rPr>
          <w:sz w:val="24"/>
          <w:szCs w:val="24"/>
        </w:rPr>
        <w:t xml:space="preserve">0.000923728, </w:t>
      </w:r>
      <w:r w:rsidRPr="6076F542" w:rsidR="0C17DB0B">
        <w:rPr>
          <w:sz w:val="24"/>
          <w:szCs w:val="24"/>
        </w:rPr>
        <w:t>-</w:t>
      </w:r>
      <w:r w:rsidRPr="6076F542" w:rsidR="6705A95D">
        <w:rPr>
          <w:sz w:val="24"/>
          <w:szCs w:val="24"/>
        </w:rPr>
        <w:t>0.00093051... with -0.000916947 being the highest return. Therefore, being the most efficient portfolio.</w:t>
      </w:r>
    </w:p>
    <w:p w:rsidR="12484E17" w:rsidP="38474183" w:rsidRDefault="12484E17" w14:paraId="4C7EFB86" w14:textId="26906CA2">
      <w:pPr>
        <w:pStyle w:val="Normal"/>
        <w:rPr>
          <w:rFonts w:ascii="Aptos" w:hAnsi="Aptos" w:eastAsia="Aptos" w:cs="Aptos"/>
          <w:b w:val="1"/>
          <w:bCs w:val="1"/>
          <w:noProof w:val="0"/>
          <w:sz w:val="24"/>
          <w:szCs w:val="24"/>
          <w:lang w:val="en-GB"/>
        </w:rPr>
      </w:pPr>
      <w:r w:rsidRPr="6076F542" w:rsidR="644DC72E">
        <w:rPr>
          <w:rFonts w:ascii="Aptos" w:hAnsi="Aptos" w:eastAsia="Aptos" w:cs="Aptos"/>
          <w:b w:val="1"/>
          <w:bCs w:val="1"/>
          <w:noProof w:val="0"/>
          <w:sz w:val="24"/>
          <w:szCs w:val="24"/>
          <w:lang w:val="en-GB"/>
        </w:rPr>
        <w:t xml:space="preserve">The </w:t>
      </w:r>
      <w:r w:rsidRPr="6076F542" w:rsidR="644DC72E">
        <w:rPr>
          <w:rFonts w:ascii="Aptos" w:hAnsi="Aptos" w:eastAsia="Aptos" w:cs="Aptos"/>
          <w:b w:val="1"/>
          <w:bCs w:val="1"/>
          <w:noProof w:val="0"/>
          <w:sz w:val="24"/>
          <w:szCs w:val="24"/>
          <w:lang w:val="en-GB"/>
        </w:rPr>
        <w:t>minimum</w:t>
      </w:r>
      <w:r w:rsidRPr="6076F542" w:rsidR="644DC72E">
        <w:rPr>
          <w:rFonts w:ascii="Aptos" w:hAnsi="Aptos" w:eastAsia="Aptos" w:cs="Aptos"/>
          <w:b w:val="1"/>
          <w:bCs w:val="1"/>
          <w:noProof w:val="0"/>
          <w:sz w:val="24"/>
          <w:szCs w:val="24"/>
          <w:lang w:val="en-GB"/>
        </w:rPr>
        <w:t xml:space="preserve"> variance portfolio </w:t>
      </w:r>
      <w:r w:rsidRPr="6076F542" w:rsidR="644DC72E">
        <w:rPr>
          <w:rFonts w:ascii="Aptos" w:hAnsi="Aptos" w:eastAsia="Aptos" w:cs="Aptos"/>
          <w:b w:val="1"/>
          <w:bCs w:val="1"/>
          <w:noProof w:val="0"/>
          <w:sz w:val="24"/>
          <w:szCs w:val="24"/>
          <w:lang w:val="en-GB"/>
        </w:rPr>
        <w:t>identified</w:t>
      </w:r>
      <w:r w:rsidRPr="6076F542" w:rsidR="644DC72E">
        <w:rPr>
          <w:rFonts w:ascii="Aptos" w:hAnsi="Aptos" w:eastAsia="Aptos" w:cs="Aptos"/>
          <w:b w:val="1"/>
          <w:bCs w:val="1"/>
          <w:noProof w:val="0"/>
          <w:sz w:val="24"/>
          <w:szCs w:val="24"/>
          <w:lang w:val="en-GB"/>
        </w:rPr>
        <w:t xml:space="preserve"> from the diagram, along with the approximate weights for each stock, is given below:</w:t>
      </w:r>
    </w:p>
    <w:p w:rsidR="2AC73EEF" w:rsidP="33F31423" w:rsidRDefault="2AC73EEF" w14:paraId="479EA925" w14:textId="319EF87B">
      <w:pPr>
        <w:pStyle w:val="ListParagraph"/>
        <w:numPr>
          <w:ilvl w:val="0"/>
          <w:numId w:val="9"/>
        </w:numPr>
        <w:suppressLineNumbers w:val="0"/>
        <w:bidi w:val="0"/>
        <w:spacing w:before="0" w:beforeAutospacing="off" w:after="160" w:afterAutospacing="off" w:line="279" w:lineRule="auto"/>
        <w:ind w:right="0"/>
        <w:jc w:val="left"/>
        <w:rPr/>
      </w:pPr>
      <w:r w:rsidR="2AC73EEF">
        <w:rPr>
          <w:b w:val="0"/>
          <w:bCs w:val="0"/>
        </w:rPr>
        <w:t xml:space="preserve">The </w:t>
      </w:r>
      <w:r w:rsidR="2AC73EEF">
        <w:rPr>
          <w:b w:val="0"/>
          <w:bCs w:val="0"/>
        </w:rPr>
        <w:t>minimum</w:t>
      </w:r>
      <w:r w:rsidR="2AC73EEF">
        <w:rPr>
          <w:b w:val="0"/>
          <w:bCs w:val="0"/>
        </w:rPr>
        <w:t xml:space="preserve"> Variance portfolio</w:t>
      </w:r>
      <w:r w:rsidR="548DCD51">
        <w:rPr>
          <w:b w:val="0"/>
          <w:bCs w:val="0"/>
        </w:rPr>
        <w:t>:</w:t>
      </w:r>
      <w:r w:rsidR="33464586">
        <w:rPr>
          <w:b w:val="0"/>
          <w:bCs w:val="0"/>
        </w:rPr>
        <w:t xml:space="preserve"> 0.00022340</w:t>
      </w:r>
      <w:r w:rsidR="33464586">
        <w:rPr>
          <w:b w:val="0"/>
          <w:bCs w:val="0"/>
        </w:rPr>
        <w:t>9</w:t>
      </w:r>
    </w:p>
    <w:p w:rsidR="33464586" w:rsidP="33F31423" w:rsidRDefault="33464586" w14:paraId="4809F874" w14:textId="2C5F7D68">
      <w:pPr>
        <w:pStyle w:val="ListParagraph"/>
        <w:numPr>
          <w:ilvl w:val="0"/>
          <w:numId w:val="9"/>
        </w:numPr>
        <w:suppressLineNumbers w:val="0"/>
        <w:bidi w:val="0"/>
        <w:spacing w:before="0" w:beforeAutospacing="off" w:after="160" w:afterAutospacing="off" w:line="279" w:lineRule="auto"/>
        <w:ind w:right="0"/>
        <w:jc w:val="left"/>
        <w:rPr/>
      </w:pPr>
      <w:r w:rsidRPr="33F31423" w:rsidR="42EFAA23">
        <w:rPr>
          <w:b w:val="0"/>
          <w:bCs w:val="0"/>
        </w:rPr>
        <w:t>Weights:</w:t>
      </w:r>
      <w:r w:rsidRPr="4F0964B3" w:rsidR="33464586">
        <w:rPr>
          <w:b w:val="1"/>
          <w:bCs w:val="1"/>
        </w:rPr>
        <w:t xml:space="preserve"> </w:t>
      </w:r>
      <w:r w:rsidR="6B601116">
        <w:rPr>
          <w:b w:val="0"/>
          <w:bCs w:val="0"/>
        </w:rPr>
        <w:t>W1-</w:t>
      </w:r>
      <w:r w:rsidR="33464586">
        <w:rPr>
          <w:b w:val="0"/>
          <w:bCs w:val="0"/>
        </w:rPr>
        <w:t>MSFT = 0.3, w2-ORCL = 0.04 and w3</w:t>
      </w:r>
      <w:r w:rsidR="4DEC2CDD">
        <w:rPr>
          <w:b w:val="0"/>
          <w:bCs w:val="0"/>
        </w:rPr>
        <w:t>-</w:t>
      </w:r>
      <w:r w:rsidR="33464586">
        <w:rPr>
          <w:b w:val="0"/>
          <w:bCs w:val="0"/>
        </w:rPr>
        <w:t>S</w:t>
      </w:r>
      <w:r w:rsidR="33464586">
        <w:rPr>
          <w:b w:val="0"/>
          <w:bCs w:val="0"/>
        </w:rPr>
        <w:t>ONY</w:t>
      </w:r>
      <w:r w:rsidR="33464586">
        <w:rPr>
          <w:b w:val="0"/>
          <w:bCs w:val="0"/>
        </w:rPr>
        <w:t xml:space="preserve"> = </w:t>
      </w:r>
      <w:r w:rsidR="010D6D6D">
        <w:rPr>
          <w:b w:val="0"/>
          <w:bCs w:val="0"/>
        </w:rPr>
        <w:t>0.66</w:t>
      </w:r>
      <w:r w:rsidR="32C3F2F3">
        <w:rPr/>
        <w:t xml:space="preserve">. </w:t>
      </w:r>
    </w:p>
    <w:p w:rsidR="33464586" w:rsidP="33F31423" w:rsidRDefault="33464586" w14:paraId="0E70D9DC" w14:textId="67BE9C15">
      <w:pPr>
        <w:pStyle w:val="ListParagraph"/>
        <w:numPr>
          <w:ilvl w:val="0"/>
          <w:numId w:val="9"/>
        </w:numPr>
        <w:suppressLineNumbers w:val="0"/>
        <w:bidi w:val="0"/>
        <w:spacing w:before="0" w:beforeAutospacing="off" w:after="160" w:afterAutospacing="off" w:line="279" w:lineRule="auto"/>
        <w:ind w:right="0"/>
        <w:jc w:val="left"/>
        <w:rPr/>
      </w:pPr>
      <w:r w:rsidR="32C3F2F3">
        <w:rPr>
          <w:b w:val="0"/>
          <w:bCs w:val="0"/>
        </w:rPr>
        <w:t xml:space="preserve">This can be found at the </w:t>
      </w:r>
      <w:r w:rsidR="02A75DF1">
        <w:rPr>
          <w:b w:val="0"/>
          <w:bCs w:val="0"/>
        </w:rPr>
        <w:t>point (</w:t>
      </w:r>
      <w:r w:rsidR="32C3F2F3">
        <w:rPr>
          <w:b w:val="0"/>
          <w:bCs w:val="0"/>
        </w:rPr>
        <w:t>0.0153, -0.001194975) on the mean variance portfolio curve.</w:t>
      </w:r>
    </w:p>
    <w:p w:rsidR="4F0964B3" w:rsidP="33F31423" w:rsidRDefault="4F0964B3" w14:paraId="64002360" w14:textId="008F14FA">
      <w:pPr>
        <w:pStyle w:val="Normal"/>
      </w:pPr>
      <w:r w:rsidR="38474183">
        <w:drawing>
          <wp:anchor distT="0" distB="0" distL="114300" distR="114300" simplePos="0" relativeHeight="251658240" behindDoc="0" locked="0" layoutInCell="1" allowOverlap="1" wp14:editId="0EF74857" wp14:anchorId="1503BE1A">
            <wp:simplePos x="0" y="0"/>
            <wp:positionH relativeFrom="column">
              <wp:posOffset>752475</wp:posOffset>
            </wp:positionH>
            <wp:positionV relativeFrom="paragraph">
              <wp:posOffset>-19050</wp:posOffset>
            </wp:positionV>
            <wp:extent cx="4029075" cy="2540798"/>
            <wp:effectExtent l="0" t="0" r="0" b="0"/>
            <wp:wrapNone/>
            <wp:docPr id="403367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3367334" name="Picture 403367334"/>
                    <pic:cNvPicPr/>
                  </pic:nvPicPr>
                  <pic:blipFill>
                    <a:blip xmlns:r="http://schemas.openxmlformats.org/officeDocument/2006/relationships" r:embed="rId1577112355">
                      <a:extLst>
                        <a:ext uri="{28A0092B-C50C-407E-A947-70E740481C1C}">
                          <a14:useLocalDpi xmlns:a14="http://schemas.microsoft.com/office/drawing/2010/main"/>
                        </a:ext>
                      </a:extLst>
                    </a:blip>
                    <a:stretch>
                      <a:fillRect/>
                    </a:stretch>
                  </pic:blipFill>
                  <pic:spPr>
                    <a:xfrm rot="0">
                      <a:off x="0" y="0"/>
                      <a:ext cx="4029075" cy="2540798"/>
                    </a:xfrm>
                    <a:prstGeom prst="rect">
                      <a:avLst/>
                    </a:prstGeom>
                  </pic:spPr>
                </pic:pic>
              </a:graphicData>
            </a:graphic>
            <wp14:sizeRelH relativeFrom="page">
              <wp14:pctWidth>0</wp14:pctWidth>
            </wp14:sizeRelH>
            <wp14:sizeRelV relativeFrom="page">
              <wp14:pctHeight>0</wp14:pctHeight>
            </wp14:sizeRelV>
          </wp:anchor>
        </w:drawing>
      </w:r>
    </w:p>
    <w:p w:rsidR="4F0964B3" w:rsidP="38474183" w:rsidRDefault="4F0964B3" w14:paraId="37A988A3" w14:textId="64DDA106">
      <w:pPr>
        <w:pStyle w:val="Normal"/>
      </w:pPr>
    </w:p>
    <w:p w:rsidR="33F31423" w:rsidP="33F31423" w:rsidRDefault="33F31423" w14:paraId="21A8150D" w14:textId="566BF666">
      <w:pPr>
        <w:rPr>
          <w:b w:val="1"/>
          <w:bCs w:val="1"/>
        </w:rPr>
      </w:pPr>
    </w:p>
    <w:p w:rsidR="33F31423" w:rsidP="33F31423" w:rsidRDefault="33F31423" w14:paraId="25CABA58" w14:textId="6A85E7CD">
      <w:pPr>
        <w:rPr>
          <w:b w:val="1"/>
          <w:bCs w:val="1"/>
        </w:rPr>
      </w:pPr>
    </w:p>
    <w:p w:rsidR="38474183" w:rsidP="38474183" w:rsidRDefault="38474183" w14:paraId="0E6ECEF9" w14:textId="4AA3DF7D">
      <w:pPr>
        <w:rPr>
          <w:b w:val="1"/>
          <w:bCs w:val="1"/>
        </w:rPr>
      </w:pPr>
    </w:p>
    <w:p w:rsidR="6076F542" w:rsidP="6076F542" w:rsidRDefault="6076F542" w14:paraId="3A6C07BE" w14:textId="79280A52">
      <w:pPr>
        <w:pStyle w:val="Normal"/>
        <w:rPr>
          <w:b w:val="1"/>
          <w:bCs w:val="1"/>
        </w:rPr>
      </w:pPr>
    </w:p>
    <w:p w:rsidR="6076F542" w:rsidP="6076F542" w:rsidRDefault="6076F542" w14:paraId="6EE9A934" w14:textId="0FAA5F7C">
      <w:pPr>
        <w:pStyle w:val="Normal"/>
        <w:rPr>
          <w:b w:val="1"/>
          <w:bCs w:val="1"/>
        </w:rPr>
      </w:pPr>
    </w:p>
    <w:p w:rsidR="00D37149" w:rsidP="38474183" w:rsidRDefault="00332CAA" w14:paraId="6F4A128A" w14:textId="6BCB109D">
      <w:pPr>
        <w:pStyle w:val="Normal"/>
        <w:rPr>
          <w:b w:val="1"/>
          <w:bCs w:val="1"/>
        </w:rPr>
      </w:pPr>
      <w:r w:rsidRPr="38474183" w:rsidR="00332CAA">
        <w:rPr>
          <w:b w:val="1"/>
          <w:bCs w:val="1"/>
        </w:rPr>
        <w:t xml:space="preserve">Solve for the </w:t>
      </w:r>
      <w:r w:rsidRPr="38474183" w:rsidR="00332CAA">
        <w:rPr>
          <w:b w:val="1"/>
          <w:bCs w:val="1"/>
        </w:rPr>
        <w:t xml:space="preserve">minimum </w:t>
      </w:r>
      <w:r w:rsidRPr="38474183" w:rsidR="00332CAA">
        <w:rPr>
          <w:b w:val="1"/>
          <w:bCs w:val="1"/>
        </w:rPr>
        <w:t>variance portfolio analytically. Hint: This is an unconstrained optimization. You will have to solve a system of 3 equations with 3 unknowns. [10 marks]</w:t>
      </w:r>
    </w:p>
    <w:p w:rsidR="00332CAA" w:rsidP="38474183" w:rsidRDefault="00332CAA" w14:paraId="7291DC71" w14:textId="0658377F">
      <w:pPr>
        <w:pStyle w:val="Normal"/>
      </w:pPr>
      <w:r w:rsidR="6BD07224">
        <w:drawing>
          <wp:inline wp14:editId="4357AC0B" wp14:anchorId="701519B5">
            <wp:extent cx="5724525" cy="2238375"/>
            <wp:effectExtent l="0" t="0" r="0" b="0"/>
            <wp:docPr id="64100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008395" name="Picture 641008395"/>
                    <pic:cNvPicPr/>
                  </pic:nvPicPr>
                  <pic:blipFill>
                    <a:blip xmlns:r="http://schemas.openxmlformats.org/officeDocument/2006/relationships" r:embed="rId1846821036">
                      <a:extLst>
                        <a:ext uri="{28A0092B-C50C-407E-A947-70E740481C1C}">
                          <a14:useLocalDpi xmlns:a14="http://schemas.microsoft.com/office/drawing/2010/main"/>
                        </a:ext>
                      </a:extLst>
                    </a:blip>
                    <a:stretch>
                      <a:fillRect/>
                    </a:stretch>
                  </pic:blipFill>
                  <pic:spPr>
                    <a:xfrm>
                      <a:off x="0" y="0"/>
                      <a:ext cx="5724525" cy="2238375"/>
                    </a:xfrm>
                    <a:prstGeom prst="rect">
                      <a:avLst/>
                    </a:prstGeom>
                  </pic:spPr>
                </pic:pic>
              </a:graphicData>
            </a:graphic>
          </wp:inline>
        </w:drawing>
      </w:r>
    </w:p>
    <w:p w:rsidR="4F0964B3" w:rsidP="6076F542" w:rsidRDefault="4F0964B3" w14:paraId="783D778E" w14:textId="504AD904">
      <w:pPr>
        <w:pStyle w:val="Normal"/>
        <w:rPr>
          <w:b w:val="1"/>
          <w:bCs w:val="1"/>
          <w:sz w:val="28"/>
          <w:szCs w:val="28"/>
          <w:u w:val="single"/>
        </w:rPr>
      </w:pPr>
      <w:r w:rsidRPr="6076F542" w:rsidR="7D6803A0">
        <w:rPr>
          <w:b w:val="1"/>
          <w:bCs w:val="1"/>
          <w:sz w:val="28"/>
          <w:szCs w:val="28"/>
          <w:u w:val="single"/>
        </w:rPr>
        <w:t>Investment Advice</w:t>
      </w:r>
    </w:p>
    <w:p w:rsidR="32B737EB" w:rsidP="6076F542" w:rsidRDefault="32B737EB" w14:paraId="252AEA2E" w14:textId="537D3287">
      <w:pPr>
        <w:pStyle w:val="Normal"/>
        <w:bidi w:val="0"/>
        <w:spacing w:before="240" w:beforeAutospacing="off" w:after="240" w:afterAutospacing="off"/>
        <w:rPr>
          <w:noProof w:val="0"/>
          <w:lang w:val="en-GB"/>
        </w:rPr>
      </w:pPr>
      <w:r w:rsidRPr="6076F542" w:rsidR="32B737EB">
        <w:rPr>
          <w:noProof w:val="0"/>
          <w:lang w:val="en-GB"/>
        </w:rPr>
        <w:t xml:space="preserve">When recommending investment alternatives, the most </w:t>
      </w:r>
      <w:r w:rsidRPr="6076F542" w:rsidR="32B737EB">
        <w:rPr>
          <w:noProof w:val="0"/>
          <w:lang w:val="en-GB"/>
        </w:rPr>
        <w:t>important factor</w:t>
      </w:r>
      <w:r w:rsidRPr="6076F542" w:rsidR="32B737EB">
        <w:rPr>
          <w:noProof w:val="0"/>
          <w:lang w:val="en-GB"/>
        </w:rPr>
        <w:t xml:space="preserve"> to consider is the client’s attitude towards risk. According to portfolio theory, investors </w:t>
      </w:r>
      <w:r w:rsidRPr="6076F542" w:rsidR="32B737EB">
        <w:rPr>
          <w:noProof w:val="0"/>
          <w:lang w:val="en-GB"/>
        </w:rPr>
        <w:t>generally prefer</w:t>
      </w:r>
      <w:r w:rsidRPr="6076F542" w:rsidR="32B737EB">
        <w:rPr>
          <w:noProof w:val="0"/>
          <w:lang w:val="en-GB"/>
        </w:rPr>
        <w:t xml:space="preserve"> higher expected returns but are cautious about taking on unnecessary risk. The mean–variance diagram helps </w:t>
      </w:r>
      <w:r w:rsidRPr="6076F542" w:rsidR="32B737EB">
        <w:rPr>
          <w:noProof w:val="0"/>
          <w:lang w:val="en-GB"/>
        </w:rPr>
        <w:t>identify</w:t>
      </w:r>
      <w:r w:rsidRPr="6076F542" w:rsidR="32B737EB">
        <w:rPr>
          <w:noProof w:val="0"/>
          <w:lang w:val="en-GB"/>
        </w:rPr>
        <w:t xml:space="preserve"> combinations of assets that provide the most efficient balance between expected return and risk, measured by standard deviation. Investors will normally choose portfolios that lie on the efficient frontier because these portfolios offer the highest expected return for each level of risk, or the lowest risk for a given level of return. </w:t>
      </w:r>
    </w:p>
    <w:p w:rsidR="32B737EB" w:rsidP="6076F542" w:rsidRDefault="32B737EB" w14:paraId="25323E85" w14:textId="53C3EF10">
      <w:pPr>
        <w:pStyle w:val="Normal"/>
        <w:bidi w:val="0"/>
        <w:spacing w:before="240" w:beforeAutospacing="off" w:after="240" w:afterAutospacing="off"/>
        <w:rPr>
          <w:noProof w:val="0"/>
          <w:lang w:val="en-GB"/>
        </w:rPr>
      </w:pPr>
      <w:r w:rsidRPr="6076F542" w:rsidR="32B737EB">
        <w:rPr>
          <w:noProof w:val="0"/>
          <w:lang w:val="en-GB"/>
        </w:rPr>
        <w:t xml:space="preserve">An investor’s willingness to take risk can be described using the Arrow–Pratt measure of risk aversion. This concept explains how sensitive an investor is to uncertainty in returns. A strongly risk-averse investor prefers more stable outcomes, while a less risk-averse investor may accept larger fluctuations in returns </w:t>
      </w:r>
      <w:r w:rsidRPr="6076F542" w:rsidR="32B737EB">
        <w:rPr>
          <w:noProof w:val="0"/>
          <w:lang w:val="en-GB"/>
        </w:rPr>
        <w:t>in order to</w:t>
      </w:r>
      <w:r w:rsidRPr="6076F542" w:rsidR="32B737EB">
        <w:rPr>
          <w:noProof w:val="0"/>
          <w:lang w:val="en-GB"/>
        </w:rPr>
        <w:t xml:space="preserve"> achieve higher potential gains.</w:t>
      </w:r>
    </w:p>
    <w:p w:rsidR="32B737EB" w:rsidP="6076F542" w:rsidRDefault="32B737EB" w14:paraId="0B8C121F" w14:textId="20C7518C">
      <w:pPr>
        <w:pStyle w:val="Normal"/>
        <w:bidi w:val="0"/>
        <w:spacing w:before="240" w:beforeAutospacing="off" w:after="240" w:afterAutospacing="off"/>
        <w:rPr>
          <w:noProof w:val="0"/>
          <w:lang w:val="en-GB"/>
        </w:rPr>
      </w:pPr>
      <w:r w:rsidRPr="6076F542" w:rsidR="32B737EB">
        <w:rPr>
          <w:noProof w:val="0"/>
          <w:lang w:val="en-GB"/>
        </w:rPr>
        <w:t xml:space="preserve">Based on the efficient frontier shown in the diagram, three suitable investment alternatives can be </w:t>
      </w:r>
      <w:r w:rsidRPr="6076F542" w:rsidR="32B737EB">
        <w:rPr>
          <w:noProof w:val="0"/>
          <w:lang w:val="en-GB"/>
        </w:rPr>
        <w:t>identified</w:t>
      </w:r>
      <w:r w:rsidRPr="6076F542" w:rsidR="32B737EB">
        <w:rPr>
          <w:noProof w:val="0"/>
          <w:lang w:val="en-GB"/>
        </w:rPr>
        <w:t xml:space="preserve"> depending on the client’s level of risk tolerance.</w:t>
      </w:r>
    </w:p>
    <w:p w:rsidR="32B737EB" w:rsidP="6076F542" w:rsidRDefault="32B737EB" w14:paraId="55A94401" w14:textId="09B89A7E">
      <w:pPr>
        <w:pStyle w:val="Normal"/>
        <w:bidi w:val="0"/>
        <w:spacing w:before="240" w:beforeAutospacing="off" w:after="240" w:afterAutospacing="off"/>
        <w:rPr>
          <w:noProof w:val="0"/>
          <w:lang w:val="en-GB"/>
        </w:rPr>
      </w:pPr>
      <w:r w:rsidRPr="6076F542" w:rsidR="32B737EB">
        <w:rPr>
          <w:noProof w:val="0"/>
          <w:lang w:val="en-GB"/>
        </w:rPr>
        <w:t xml:space="preserve">For a highly risk-averse investor, the most </w:t>
      </w:r>
      <w:r w:rsidRPr="6076F542" w:rsidR="32B737EB">
        <w:rPr>
          <w:noProof w:val="0"/>
          <w:lang w:val="en-GB"/>
        </w:rPr>
        <w:t>appropriate option</w:t>
      </w:r>
      <w:r w:rsidRPr="6076F542" w:rsidR="32B737EB">
        <w:rPr>
          <w:noProof w:val="0"/>
          <w:lang w:val="en-GB"/>
        </w:rPr>
        <w:t xml:space="preserve"> would be the </w:t>
      </w:r>
      <w:r w:rsidRPr="6076F542" w:rsidR="32B737EB">
        <w:rPr>
          <w:noProof w:val="0"/>
          <w:lang w:val="en-GB"/>
        </w:rPr>
        <w:t>minimum</w:t>
      </w:r>
      <w:r w:rsidRPr="6076F542" w:rsidR="32B737EB">
        <w:rPr>
          <w:noProof w:val="0"/>
          <w:lang w:val="en-GB"/>
        </w:rPr>
        <w:t xml:space="preserve"> variance portfolio</w:t>
      </w:r>
      <w:r w:rsidRPr="6076F542" w:rsidR="29E1A7E1">
        <w:rPr>
          <w:noProof w:val="0"/>
          <w:lang w:val="en-GB"/>
        </w:rPr>
        <w:t xml:space="preserve"> (</w:t>
      </w:r>
      <w:r w:rsidRPr="6076F542" w:rsidR="39A32160">
        <w:rPr>
          <w:noProof w:val="0"/>
          <w:lang w:val="en-GB"/>
        </w:rPr>
        <w:t>0.0153, -</w:t>
      </w:r>
      <w:r w:rsidRPr="6076F542" w:rsidR="29E1A7E1">
        <w:rPr>
          <w:noProof w:val="0"/>
          <w:lang w:val="en-GB"/>
        </w:rPr>
        <w:t>0.00119</w:t>
      </w:r>
      <w:r w:rsidRPr="6076F542" w:rsidR="4D8EB3D0">
        <w:rPr>
          <w:noProof w:val="0"/>
          <w:lang w:val="en-GB"/>
        </w:rPr>
        <w:t>4975</w:t>
      </w:r>
      <w:r w:rsidRPr="6076F542" w:rsidR="29E1A7E1">
        <w:rPr>
          <w:noProof w:val="0"/>
          <w:lang w:val="en-GB"/>
        </w:rPr>
        <w:t>)</w:t>
      </w:r>
      <w:r w:rsidRPr="6076F542" w:rsidR="32B737EB">
        <w:rPr>
          <w:noProof w:val="0"/>
          <w:lang w:val="en-GB"/>
        </w:rPr>
        <w:t xml:space="preserve">, which appears at the far left of the efficient frontier. This portfolio has the lowest possible standard deviation, meaning the returns are less volatile compared to other portfolios. By combining multiple stocks, diversification reduces firm-specific (idiosyncratic) risk, since each company </w:t>
      </w:r>
      <w:r w:rsidRPr="6076F542" w:rsidR="32B737EB">
        <w:rPr>
          <w:noProof w:val="0"/>
          <w:lang w:val="en-GB"/>
        </w:rPr>
        <w:t>operates</w:t>
      </w:r>
      <w:r w:rsidRPr="6076F542" w:rsidR="32B737EB">
        <w:rPr>
          <w:noProof w:val="0"/>
          <w:lang w:val="en-GB"/>
        </w:rPr>
        <w:t xml:space="preserve"> in different sectors and is affected by different market conditions. As a result, the overall portfolio becomes more stable and suitable for conservative investors.</w:t>
      </w:r>
    </w:p>
    <w:p w:rsidR="32B737EB" w:rsidP="6076F542" w:rsidRDefault="32B737EB" w14:paraId="395F33BF" w14:textId="49DDDA7D">
      <w:pPr>
        <w:pStyle w:val="Normal"/>
        <w:suppressLineNumbers w:val="0"/>
        <w:bidi w:val="0"/>
        <w:spacing w:before="240" w:beforeAutospacing="off" w:after="240" w:afterAutospacing="off" w:line="279" w:lineRule="auto"/>
        <w:ind w:left="0" w:right="0"/>
        <w:jc w:val="left"/>
        <w:rPr>
          <w:noProof w:val="0"/>
          <w:lang w:val="en-GB"/>
        </w:rPr>
      </w:pPr>
      <w:r w:rsidRPr="6076F542" w:rsidR="32B737EB">
        <w:rPr>
          <w:noProof w:val="0"/>
          <w:lang w:val="en-GB"/>
        </w:rPr>
        <w:t xml:space="preserve">For an investor with a </w:t>
      </w:r>
      <w:r w:rsidRPr="6076F542" w:rsidR="6F46079A">
        <w:rPr>
          <w:noProof w:val="0"/>
          <w:lang w:val="en-GB"/>
        </w:rPr>
        <w:t>risk-neutral</w:t>
      </w:r>
      <w:r w:rsidRPr="6076F542" w:rsidR="32B737EB">
        <w:rPr>
          <w:noProof w:val="0"/>
          <w:lang w:val="en-GB"/>
        </w:rPr>
        <w:t xml:space="preserve"> attitude, a portfolio </w:t>
      </w:r>
      <w:r w:rsidRPr="6076F542" w:rsidR="32B737EB">
        <w:rPr>
          <w:noProof w:val="0"/>
          <w:lang w:val="en-GB"/>
        </w:rPr>
        <w:t>located</w:t>
      </w:r>
      <w:r w:rsidRPr="6076F542" w:rsidR="32B737EB">
        <w:rPr>
          <w:noProof w:val="0"/>
          <w:lang w:val="en-GB"/>
        </w:rPr>
        <w:t xml:space="preserve"> in the middle section of the efficient frontier may be preferred</w:t>
      </w:r>
      <w:r w:rsidRPr="6076F542" w:rsidR="466FD7FA">
        <w:rPr>
          <w:noProof w:val="0"/>
          <w:lang w:val="en-GB"/>
        </w:rPr>
        <w:t>, in our case this can be calculated through the mean standard deviation</w:t>
      </w:r>
      <w:r w:rsidRPr="6076F542" w:rsidR="58F8375D">
        <w:rPr>
          <w:noProof w:val="0"/>
          <w:lang w:val="en-GB"/>
        </w:rPr>
        <w:t xml:space="preserve"> on the </w:t>
      </w:r>
      <w:r w:rsidRPr="6076F542" w:rsidR="58F8375D">
        <w:rPr>
          <w:noProof w:val="0"/>
          <w:lang w:val="en-GB"/>
        </w:rPr>
        <w:t>efficient</w:t>
      </w:r>
      <w:r w:rsidRPr="6076F542" w:rsidR="58F8375D">
        <w:rPr>
          <w:noProof w:val="0"/>
          <w:lang w:val="en-GB"/>
        </w:rPr>
        <w:t xml:space="preserve"> frontier</w:t>
      </w:r>
      <w:r w:rsidRPr="6076F542" w:rsidR="466FD7FA">
        <w:rPr>
          <w:noProof w:val="0"/>
          <w:lang w:val="en-GB"/>
        </w:rPr>
        <w:t xml:space="preserve"> (0.</w:t>
      </w:r>
      <w:r w:rsidRPr="6076F542" w:rsidR="01D1377B">
        <w:rPr>
          <w:noProof w:val="0"/>
          <w:lang w:val="en-GB"/>
        </w:rPr>
        <w:t>0203, -</w:t>
      </w:r>
      <w:r w:rsidRPr="6076F542" w:rsidR="466FD7FA">
        <w:rPr>
          <w:noProof w:val="0"/>
          <w:lang w:val="en-GB"/>
        </w:rPr>
        <w:t>0.000604</w:t>
      </w:r>
      <w:r w:rsidRPr="6076F542" w:rsidR="6C6C4EA6">
        <w:rPr>
          <w:noProof w:val="0"/>
          <w:lang w:val="en-GB"/>
        </w:rPr>
        <w:t>648</w:t>
      </w:r>
      <w:r w:rsidRPr="6076F542" w:rsidR="466FD7FA">
        <w:rPr>
          <w:noProof w:val="0"/>
          <w:lang w:val="en-GB"/>
        </w:rPr>
        <w:t>)</w:t>
      </w:r>
      <w:r w:rsidRPr="6076F542" w:rsidR="32B737EB">
        <w:rPr>
          <w:noProof w:val="0"/>
          <w:lang w:val="en-GB"/>
        </w:rPr>
        <w:t xml:space="preserve">. This portfolio offers a reasonable compromise between risk and return, providing a higher expected return than the </w:t>
      </w:r>
      <w:r w:rsidRPr="6076F542" w:rsidR="32B737EB">
        <w:rPr>
          <w:noProof w:val="0"/>
          <w:lang w:val="en-GB"/>
        </w:rPr>
        <w:t>minimum</w:t>
      </w:r>
      <w:r w:rsidRPr="6076F542" w:rsidR="32B737EB">
        <w:rPr>
          <w:noProof w:val="0"/>
          <w:lang w:val="en-GB"/>
        </w:rPr>
        <w:t xml:space="preserve"> variance portfolio but without taking on excessive volatility. The diversification benefits still apply, helping to smooth fluctuations in returns while improving performance compared to lower-risk alternatives.</w:t>
      </w:r>
    </w:p>
    <w:p w:rsidR="7131F06B" w:rsidP="6076F542" w:rsidRDefault="7131F06B" w14:paraId="009ADBC5" w14:textId="27D41865">
      <w:pPr>
        <w:pStyle w:val="Normal"/>
        <w:bidi w:val="0"/>
        <w:spacing w:before="240" w:beforeAutospacing="off" w:after="240" w:afterAutospacing="off"/>
        <w:rPr>
          <w:noProof w:val="0"/>
          <w:lang w:val="en-GB"/>
        </w:rPr>
      </w:pPr>
      <w:r w:rsidRPr="6076F542" w:rsidR="7131F06B">
        <w:rPr>
          <w:noProof w:val="0"/>
          <w:lang w:val="en-GB"/>
        </w:rPr>
        <w:t>For investors</w:t>
      </w:r>
      <w:r w:rsidRPr="6076F542" w:rsidR="32B737EB">
        <w:rPr>
          <w:noProof w:val="0"/>
          <w:lang w:val="en-GB"/>
        </w:rPr>
        <w:t xml:space="preserve"> </w:t>
      </w:r>
      <w:r w:rsidRPr="6076F542" w:rsidR="412D58FF">
        <w:rPr>
          <w:noProof w:val="0"/>
          <w:lang w:val="en-GB"/>
        </w:rPr>
        <w:t>who are risk seeking</w:t>
      </w:r>
      <w:r w:rsidRPr="6076F542" w:rsidR="32B737EB">
        <w:rPr>
          <w:noProof w:val="0"/>
          <w:lang w:val="en-GB"/>
        </w:rPr>
        <w:t xml:space="preserve">, a portfolio positioned towards the upper end of the efficient frontier may be </w:t>
      </w:r>
      <w:r w:rsidRPr="6076F542" w:rsidR="32B737EB">
        <w:rPr>
          <w:noProof w:val="0"/>
          <w:lang w:val="en-GB"/>
        </w:rPr>
        <w:t>appropriate</w:t>
      </w:r>
      <w:r w:rsidRPr="6076F542" w:rsidR="36F2961C">
        <w:rPr>
          <w:noProof w:val="0"/>
          <w:lang w:val="en-GB"/>
        </w:rPr>
        <w:t xml:space="preserve"> for</w:t>
      </w:r>
      <w:r w:rsidRPr="6076F542" w:rsidR="36F2961C">
        <w:rPr>
          <w:noProof w:val="0"/>
          <w:lang w:val="en-GB"/>
        </w:rPr>
        <w:t xml:space="preserve"> example the maximum risk in </w:t>
      </w:r>
      <w:r w:rsidRPr="6076F542" w:rsidR="08E08A18">
        <w:rPr>
          <w:noProof w:val="0"/>
          <w:lang w:val="en-GB"/>
        </w:rPr>
        <w:t>efficient</w:t>
      </w:r>
      <w:r w:rsidRPr="6076F542" w:rsidR="54DF109B">
        <w:rPr>
          <w:noProof w:val="0"/>
          <w:lang w:val="en-GB"/>
        </w:rPr>
        <w:t xml:space="preserve"> frontier (</w:t>
      </w:r>
      <w:r w:rsidRPr="6076F542" w:rsidR="54DF109B">
        <w:rPr>
          <w:noProof w:val="0"/>
          <w:lang w:val="en-GB"/>
        </w:rPr>
        <w:t>0.0301, -</w:t>
      </w:r>
      <w:r w:rsidRPr="6076F542" w:rsidR="54DF109B">
        <w:rPr>
          <w:noProof w:val="0"/>
          <w:lang w:val="en-GB"/>
        </w:rPr>
        <w:t>0.000393652)</w:t>
      </w:r>
      <w:r w:rsidRPr="6076F542" w:rsidR="32B737EB">
        <w:rPr>
          <w:noProof w:val="0"/>
          <w:lang w:val="en-GB"/>
        </w:rPr>
        <w:t>. This portfolio is associated with higher expected returns but also greater variability in performance. Such an option may suit investors with a longer investment horizon or those willing to tolerate short-term market fluctuations in pursuit of higher long-term growth.</w:t>
      </w:r>
    </w:p>
    <w:p w:rsidR="32B737EB" w:rsidP="6076F542" w:rsidRDefault="32B737EB" w14:paraId="3B2DE4D1" w14:textId="72D9CE18">
      <w:pPr>
        <w:pStyle w:val="Normal"/>
        <w:bidi w:val="0"/>
        <w:spacing w:before="240" w:beforeAutospacing="off" w:after="240" w:afterAutospacing="off"/>
        <w:rPr>
          <w:noProof w:val="0"/>
          <w:lang w:val="en-GB"/>
        </w:rPr>
      </w:pPr>
      <w:r w:rsidRPr="6076F542" w:rsidR="32B737EB">
        <w:rPr>
          <w:noProof w:val="0"/>
          <w:lang w:val="en-GB"/>
        </w:rPr>
        <w:t xml:space="preserve">The mean–variance diagram clearly shows the efficient frontier, the </w:t>
      </w:r>
      <w:r w:rsidRPr="6076F542" w:rsidR="32B737EB">
        <w:rPr>
          <w:noProof w:val="0"/>
          <w:lang w:val="en-GB"/>
        </w:rPr>
        <w:t>minimum</w:t>
      </w:r>
      <w:r w:rsidRPr="6076F542" w:rsidR="32B737EB">
        <w:rPr>
          <w:noProof w:val="0"/>
          <w:lang w:val="en-GB"/>
        </w:rPr>
        <w:t xml:space="preserve"> variance portfolio, and the inefficient portfolios that lie below the frontier. Once the client’s level of risk aversion is understood, the </w:t>
      </w:r>
      <w:r w:rsidRPr="6076F542" w:rsidR="32B737EB">
        <w:rPr>
          <w:noProof w:val="0"/>
          <w:lang w:val="en-GB"/>
        </w:rPr>
        <w:t>appropriate portfolio</w:t>
      </w:r>
      <w:r w:rsidRPr="6076F542" w:rsidR="32B737EB">
        <w:rPr>
          <w:noProof w:val="0"/>
          <w:lang w:val="en-GB"/>
        </w:rPr>
        <w:t xml:space="preserve"> can be selected directly from the efficient frontier, and the corresponding asset weights can be obtained from the data used to create the diagram.</w:t>
      </w:r>
    </w:p>
    <w:p w:rsidR="32B737EB" w:rsidP="6076F542" w:rsidRDefault="32B737EB" w14:paraId="7CC6F6A9" w14:textId="2DC171F0">
      <w:pPr>
        <w:pStyle w:val="Normal"/>
        <w:bidi w:val="0"/>
        <w:spacing w:before="240" w:beforeAutospacing="off" w:after="240" w:afterAutospacing="off"/>
        <w:rPr>
          <w:noProof w:val="0"/>
          <w:lang w:val="en-GB"/>
        </w:rPr>
      </w:pPr>
      <w:r w:rsidRPr="6076F542" w:rsidR="32B737EB">
        <w:rPr>
          <w:noProof w:val="0"/>
          <w:lang w:val="en-GB"/>
        </w:rPr>
        <w:t xml:space="preserve">However, to provide the most suitable recommendation, further information about the investor would be needed. </w:t>
      </w:r>
      <w:r w:rsidRPr="6076F542" w:rsidR="32B737EB">
        <w:rPr>
          <w:noProof w:val="0"/>
          <w:lang w:val="en-GB"/>
        </w:rPr>
        <w:t>Important factors</w:t>
      </w:r>
      <w:r w:rsidRPr="6076F542" w:rsidR="32B737EB">
        <w:rPr>
          <w:noProof w:val="0"/>
          <w:lang w:val="en-GB"/>
        </w:rPr>
        <w:t xml:space="preserve"> include the investment time horizon, financial </w:t>
      </w:r>
      <w:r w:rsidRPr="6076F542" w:rsidR="32B737EB">
        <w:rPr>
          <w:noProof w:val="0"/>
          <w:lang w:val="en-GB"/>
        </w:rPr>
        <w:t>objectives</w:t>
      </w:r>
      <w:r w:rsidRPr="6076F542" w:rsidR="32B737EB">
        <w:rPr>
          <w:noProof w:val="0"/>
          <w:lang w:val="en-GB"/>
        </w:rPr>
        <w:t xml:space="preserve">, income stability, liquidity requirements, and overall financial situation. Some investors may also have preferences for </w:t>
      </w:r>
      <w:bookmarkStart w:name="_Int_9XYj3xjD" w:id="345780915"/>
      <w:r w:rsidRPr="6076F542" w:rsidR="32B737EB">
        <w:rPr>
          <w:noProof w:val="0"/>
          <w:lang w:val="en-GB"/>
        </w:rPr>
        <w:t>particular industries</w:t>
      </w:r>
      <w:bookmarkEnd w:id="345780915"/>
      <w:r w:rsidRPr="6076F542" w:rsidR="32B737EB">
        <w:rPr>
          <w:noProof w:val="0"/>
          <w:lang w:val="en-GB"/>
        </w:rPr>
        <w:t xml:space="preserve"> or ethical investment strategies. In addition, diversification can be improved further by including other asset classes such as bonds, real estate, or cash-based investments. Adding </w:t>
      </w:r>
      <w:r w:rsidRPr="6076F542" w:rsidR="32B737EB">
        <w:rPr>
          <w:noProof w:val="0"/>
          <w:lang w:val="en-GB"/>
        </w:rPr>
        <w:t>different types</w:t>
      </w:r>
      <w:r w:rsidRPr="6076F542" w:rsidR="32B737EB">
        <w:rPr>
          <w:noProof w:val="0"/>
          <w:lang w:val="en-GB"/>
        </w:rPr>
        <w:t xml:space="preserve"> of assets can help reduce exposure to company-specific risk and improve the stability of returns. Similar calculations to those carried out in Excel would </w:t>
      </w:r>
      <w:r w:rsidRPr="6076F542" w:rsidR="32B737EB">
        <w:rPr>
          <w:noProof w:val="0"/>
          <w:lang w:val="en-GB"/>
        </w:rPr>
        <w:t>be required</w:t>
      </w:r>
      <w:r w:rsidRPr="6076F542" w:rsidR="32B737EB">
        <w:rPr>
          <w:noProof w:val="0"/>
          <w:lang w:val="en-GB"/>
        </w:rPr>
        <w:t xml:space="preserve"> to include these </w:t>
      </w:r>
      <w:r w:rsidRPr="6076F542" w:rsidR="32B737EB">
        <w:rPr>
          <w:noProof w:val="0"/>
          <w:lang w:val="en-GB"/>
        </w:rPr>
        <w:t>additional</w:t>
      </w:r>
      <w:r w:rsidRPr="6076F542" w:rsidR="32B737EB">
        <w:rPr>
          <w:noProof w:val="0"/>
          <w:lang w:val="en-GB"/>
        </w:rPr>
        <w:t xml:space="preserve"> assets and </w:t>
      </w:r>
      <w:r w:rsidRPr="6076F542" w:rsidR="32B737EB">
        <w:rPr>
          <w:noProof w:val="0"/>
          <w:lang w:val="en-GB"/>
        </w:rPr>
        <w:t>identify</w:t>
      </w:r>
      <w:r w:rsidRPr="6076F542" w:rsidR="32B737EB">
        <w:rPr>
          <w:noProof w:val="0"/>
          <w:lang w:val="en-GB"/>
        </w:rPr>
        <w:t xml:space="preserve"> a new efficient frontier.</w:t>
      </w:r>
    </w:p>
    <w:p w:rsidR="32B737EB" w:rsidP="6076F542" w:rsidRDefault="32B737EB" w14:paraId="619A96B6" w14:textId="6381B31D">
      <w:pPr>
        <w:pStyle w:val="Normal"/>
        <w:bidi w:val="0"/>
        <w:spacing w:before="240" w:beforeAutospacing="off" w:after="240" w:afterAutospacing="off"/>
        <w:rPr>
          <w:noProof w:val="0"/>
          <w:lang w:val="en-GB"/>
        </w:rPr>
      </w:pPr>
      <w:r w:rsidRPr="6076F542" w:rsidR="32B737EB">
        <w:rPr>
          <w:noProof w:val="0"/>
          <w:lang w:val="en-GB"/>
        </w:rPr>
        <w:t xml:space="preserve">Overall, the most suitable portfolio depends on the investor’s level of risk aversion as measured by the Arrow–Pratt framework. Selecting a portfolio from the efficient frontier ensures that the investor is achieving the best possible expected return </w:t>
      </w:r>
      <w:r w:rsidRPr="6076F542" w:rsidR="32B737EB">
        <w:rPr>
          <w:noProof w:val="0"/>
          <w:lang w:val="en-GB"/>
        </w:rPr>
        <w:t>for the amount of</w:t>
      </w:r>
      <w:r w:rsidRPr="6076F542" w:rsidR="32B737EB">
        <w:rPr>
          <w:noProof w:val="0"/>
          <w:lang w:val="en-GB"/>
        </w:rPr>
        <w:t xml:space="preserve"> risk they are willing to accept. The diagram therefore provides a useful visual tool for choosing between investment alternatives and supporting well-informed financial decisions.</w:t>
      </w:r>
    </w:p>
    <w:sectPr w:rsidRPr="00D37149" w:rsidR="00332CA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9XYj3xjD" int2:invalidationBookmarkName="" int2:hashCode="F6F2vLCs7Kjjai" int2:id="T54kVSNM">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388fd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54fb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3a8e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e44d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991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2235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ec84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34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a26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34b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118a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380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214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A25EE"/>
    <w:multiLevelType w:val="multilevel"/>
    <w:tmpl w:val="AED80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961CB5"/>
    <w:multiLevelType w:val="multilevel"/>
    <w:tmpl w:val="FABCA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251E37"/>
    <w:multiLevelType w:val="hybridMultilevel"/>
    <w:tmpl w:val="F3C678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FB2FF2"/>
    <w:multiLevelType w:val="hybridMultilevel"/>
    <w:tmpl w:val="E21A7F80"/>
    <w:lvl w:ilvl="0" w:tplc="F8A43B4A">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BDA1151"/>
    <w:multiLevelType w:val="hybridMultilevel"/>
    <w:tmpl w:val="FC2CEC4A"/>
    <w:lvl w:ilvl="0" w:tplc="972AB41A">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F11567A"/>
    <w:multiLevelType w:val="multilevel"/>
    <w:tmpl w:val="9104D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42A4FF7"/>
    <w:multiLevelType w:val="multilevel"/>
    <w:tmpl w:val="F31AC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2041197719">
    <w:abstractNumId w:val="6"/>
  </w:num>
  <w:num w:numId="2" w16cid:durableId="1221088511">
    <w:abstractNumId w:val="1"/>
  </w:num>
  <w:num w:numId="3" w16cid:durableId="493380897">
    <w:abstractNumId w:val="0"/>
  </w:num>
  <w:num w:numId="4" w16cid:durableId="378745993">
    <w:abstractNumId w:val="5"/>
  </w:num>
  <w:num w:numId="5" w16cid:durableId="942805549">
    <w:abstractNumId w:val="3"/>
  </w:num>
  <w:num w:numId="6" w16cid:durableId="1551189525">
    <w:abstractNumId w:val="4"/>
  </w:num>
  <w:num w:numId="7" w16cid:durableId="60103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95E331"/>
    <w:rsid w:val="00050259"/>
    <w:rsid w:val="000B0472"/>
    <w:rsid w:val="0011523B"/>
    <w:rsid w:val="00135A9F"/>
    <w:rsid w:val="0018407C"/>
    <w:rsid w:val="00186C24"/>
    <w:rsid w:val="00301EC0"/>
    <w:rsid w:val="003105D8"/>
    <w:rsid w:val="00332CAA"/>
    <w:rsid w:val="0036450F"/>
    <w:rsid w:val="003E0344"/>
    <w:rsid w:val="00410EA0"/>
    <w:rsid w:val="00426C85"/>
    <w:rsid w:val="00510743"/>
    <w:rsid w:val="006417A8"/>
    <w:rsid w:val="007047FE"/>
    <w:rsid w:val="007157FC"/>
    <w:rsid w:val="007552D1"/>
    <w:rsid w:val="00824CE7"/>
    <w:rsid w:val="009A1CF1"/>
    <w:rsid w:val="00A61F53"/>
    <w:rsid w:val="00B406F2"/>
    <w:rsid w:val="00BD2F9E"/>
    <w:rsid w:val="00CA50E9"/>
    <w:rsid w:val="00D37149"/>
    <w:rsid w:val="00D412DC"/>
    <w:rsid w:val="00E02374"/>
    <w:rsid w:val="00ED76C0"/>
    <w:rsid w:val="00F83F6A"/>
    <w:rsid w:val="010D6D6D"/>
    <w:rsid w:val="01897C06"/>
    <w:rsid w:val="01D1377B"/>
    <w:rsid w:val="02A75DF1"/>
    <w:rsid w:val="03A91D26"/>
    <w:rsid w:val="05BC9183"/>
    <w:rsid w:val="05DC2612"/>
    <w:rsid w:val="069F2FBA"/>
    <w:rsid w:val="06A887D1"/>
    <w:rsid w:val="06B3F5F1"/>
    <w:rsid w:val="0716805D"/>
    <w:rsid w:val="0893C866"/>
    <w:rsid w:val="08E08A18"/>
    <w:rsid w:val="09283B9C"/>
    <w:rsid w:val="09355D21"/>
    <w:rsid w:val="0939C47C"/>
    <w:rsid w:val="0B5F1695"/>
    <w:rsid w:val="0B9C5955"/>
    <w:rsid w:val="0BCBD73D"/>
    <w:rsid w:val="0BE7ED05"/>
    <w:rsid w:val="0C17DB0B"/>
    <w:rsid w:val="0C314967"/>
    <w:rsid w:val="0C349F90"/>
    <w:rsid w:val="0C4857DF"/>
    <w:rsid w:val="0C656170"/>
    <w:rsid w:val="0CE5FFE2"/>
    <w:rsid w:val="0F1F9947"/>
    <w:rsid w:val="0F86873E"/>
    <w:rsid w:val="12484E17"/>
    <w:rsid w:val="159E4F37"/>
    <w:rsid w:val="16B8216C"/>
    <w:rsid w:val="177E6A66"/>
    <w:rsid w:val="17C4D29C"/>
    <w:rsid w:val="17C7B31F"/>
    <w:rsid w:val="190632EF"/>
    <w:rsid w:val="1916831B"/>
    <w:rsid w:val="1968BF2B"/>
    <w:rsid w:val="19818538"/>
    <w:rsid w:val="1AD7250B"/>
    <w:rsid w:val="1B0C85F2"/>
    <w:rsid w:val="1CDFF5AC"/>
    <w:rsid w:val="1CE70A10"/>
    <w:rsid w:val="1D5405F2"/>
    <w:rsid w:val="1D6FFAF3"/>
    <w:rsid w:val="1DDEEF33"/>
    <w:rsid w:val="1E5712AF"/>
    <w:rsid w:val="20D5D1BC"/>
    <w:rsid w:val="20E4D7F3"/>
    <w:rsid w:val="219AC1DC"/>
    <w:rsid w:val="2288CBF7"/>
    <w:rsid w:val="249BC2D6"/>
    <w:rsid w:val="251A2850"/>
    <w:rsid w:val="2546D213"/>
    <w:rsid w:val="25976CCB"/>
    <w:rsid w:val="25F5E7E8"/>
    <w:rsid w:val="26046CFC"/>
    <w:rsid w:val="260891AF"/>
    <w:rsid w:val="269F7F36"/>
    <w:rsid w:val="27E939C5"/>
    <w:rsid w:val="27EBC385"/>
    <w:rsid w:val="28FA0002"/>
    <w:rsid w:val="29503C0B"/>
    <w:rsid w:val="2955436D"/>
    <w:rsid w:val="295F1961"/>
    <w:rsid w:val="2966F23C"/>
    <w:rsid w:val="29E1A7E1"/>
    <w:rsid w:val="29EF2C91"/>
    <w:rsid w:val="2AABED75"/>
    <w:rsid w:val="2AC73EEF"/>
    <w:rsid w:val="2B963DE7"/>
    <w:rsid w:val="2C523B3B"/>
    <w:rsid w:val="2E74B189"/>
    <w:rsid w:val="2F634584"/>
    <w:rsid w:val="3095E331"/>
    <w:rsid w:val="325392A1"/>
    <w:rsid w:val="32B737EB"/>
    <w:rsid w:val="32C3F2F3"/>
    <w:rsid w:val="33464586"/>
    <w:rsid w:val="33939C4C"/>
    <w:rsid w:val="33A7E0E7"/>
    <w:rsid w:val="33B9598C"/>
    <w:rsid w:val="33F31423"/>
    <w:rsid w:val="344C023F"/>
    <w:rsid w:val="346C1C21"/>
    <w:rsid w:val="34E97B2F"/>
    <w:rsid w:val="3611B945"/>
    <w:rsid w:val="363A143F"/>
    <w:rsid w:val="36F2961C"/>
    <w:rsid w:val="38094FF2"/>
    <w:rsid w:val="38474183"/>
    <w:rsid w:val="3862F9A2"/>
    <w:rsid w:val="3955AACB"/>
    <w:rsid w:val="399FF1C2"/>
    <w:rsid w:val="39A32160"/>
    <w:rsid w:val="3A171BDE"/>
    <w:rsid w:val="3A2D7435"/>
    <w:rsid w:val="3A347B56"/>
    <w:rsid w:val="3B1CB875"/>
    <w:rsid w:val="3B55AC33"/>
    <w:rsid w:val="3CD72708"/>
    <w:rsid w:val="3D32551E"/>
    <w:rsid w:val="3D642C3A"/>
    <w:rsid w:val="3E31532C"/>
    <w:rsid w:val="3E4DB37B"/>
    <w:rsid w:val="3F0CA2ED"/>
    <w:rsid w:val="40051A50"/>
    <w:rsid w:val="406D581A"/>
    <w:rsid w:val="412D58FF"/>
    <w:rsid w:val="41842AB3"/>
    <w:rsid w:val="41F4CEB2"/>
    <w:rsid w:val="42EFAA23"/>
    <w:rsid w:val="437534D7"/>
    <w:rsid w:val="43BA7198"/>
    <w:rsid w:val="4402CD0D"/>
    <w:rsid w:val="44650F00"/>
    <w:rsid w:val="45A17D8B"/>
    <w:rsid w:val="4610CC2D"/>
    <w:rsid w:val="466FD7FA"/>
    <w:rsid w:val="46EBE03E"/>
    <w:rsid w:val="489BDB79"/>
    <w:rsid w:val="48D9B548"/>
    <w:rsid w:val="491F8E01"/>
    <w:rsid w:val="492DBB5C"/>
    <w:rsid w:val="49424BCA"/>
    <w:rsid w:val="4A690C60"/>
    <w:rsid w:val="4A874D04"/>
    <w:rsid w:val="4B0B9003"/>
    <w:rsid w:val="4B7D0E47"/>
    <w:rsid w:val="4C88B341"/>
    <w:rsid w:val="4CBDCF07"/>
    <w:rsid w:val="4D83B28D"/>
    <w:rsid w:val="4D8EB3D0"/>
    <w:rsid w:val="4DB9A248"/>
    <w:rsid w:val="4DEC2CDD"/>
    <w:rsid w:val="4F0964B3"/>
    <w:rsid w:val="4F4F6272"/>
    <w:rsid w:val="51554A16"/>
    <w:rsid w:val="51947FA3"/>
    <w:rsid w:val="5229530C"/>
    <w:rsid w:val="52C1E360"/>
    <w:rsid w:val="53514DB5"/>
    <w:rsid w:val="53CCAFA2"/>
    <w:rsid w:val="5425F12E"/>
    <w:rsid w:val="5451E3C4"/>
    <w:rsid w:val="54799845"/>
    <w:rsid w:val="548DCD51"/>
    <w:rsid w:val="54DF109B"/>
    <w:rsid w:val="5773A7E1"/>
    <w:rsid w:val="57AD5B27"/>
    <w:rsid w:val="57C0E951"/>
    <w:rsid w:val="588444C2"/>
    <w:rsid w:val="58F8375D"/>
    <w:rsid w:val="590F826C"/>
    <w:rsid w:val="5A9ED1C3"/>
    <w:rsid w:val="5ABE96FA"/>
    <w:rsid w:val="5AE9AA46"/>
    <w:rsid w:val="5B341852"/>
    <w:rsid w:val="5C3D7512"/>
    <w:rsid w:val="5CE87D47"/>
    <w:rsid w:val="5D9A7294"/>
    <w:rsid w:val="5E0C6E8D"/>
    <w:rsid w:val="5EA5524D"/>
    <w:rsid w:val="5F494911"/>
    <w:rsid w:val="5F6D4F1C"/>
    <w:rsid w:val="5F71CBF4"/>
    <w:rsid w:val="601AF936"/>
    <w:rsid w:val="603BC764"/>
    <w:rsid w:val="6069C39B"/>
    <w:rsid w:val="6076F542"/>
    <w:rsid w:val="609E668B"/>
    <w:rsid w:val="60DA74AA"/>
    <w:rsid w:val="62670404"/>
    <w:rsid w:val="63928632"/>
    <w:rsid w:val="644DC72E"/>
    <w:rsid w:val="6494F1D1"/>
    <w:rsid w:val="66EFA85B"/>
    <w:rsid w:val="66F8DD29"/>
    <w:rsid w:val="6705A95D"/>
    <w:rsid w:val="68B7D70C"/>
    <w:rsid w:val="68F6804D"/>
    <w:rsid w:val="6A7A718D"/>
    <w:rsid w:val="6AF3275D"/>
    <w:rsid w:val="6B601116"/>
    <w:rsid w:val="6BC378A9"/>
    <w:rsid w:val="6BD07224"/>
    <w:rsid w:val="6BFD0180"/>
    <w:rsid w:val="6C6C4EA6"/>
    <w:rsid w:val="6C75DB68"/>
    <w:rsid w:val="6F46079A"/>
    <w:rsid w:val="6FF8E0EB"/>
    <w:rsid w:val="70D18353"/>
    <w:rsid w:val="7131F06B"/>
    <w:rsid w:val="731A7889"/>
    <w:rsid w:val="739D794E"/>
    <w:rsid w:val="73F04D6D"/>
    <w:rsid w:val="75CFB4EF"/>
    <w:rsid w:val="7688F78B"/>
    <w:rsid w:val="788B2EF1"/>
    <w:rsid w:val="78B7C10C"/>
    <w:rsid w:val="795D7C9D"/>
    <w:rsid w:val="7A221856"/>
    <w:rsid w:val="7B0C01AF"/>
    <w:rsid w:val="7C0C33D0"/>
    <w:rsid w:val="7C4044EB"/>
    <w:rsid w:val="7D0A2178"/>
    <w:rsid w:val="7D6803A0"/>
    <w:rsid w:val="7D69D4C6"/>
    <w:rsid w:val="7D70F62D"/>
    <w:rsid w:val="7F2597A2"/>
    <w:rsid w:val="7FDE8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E331"/>
  <w15:chartTrackingRefBased/>
  <w15:docId w15:val="{0EE0FBE2-A26F-49C0-BC43-5D2955ACB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552D1"/>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52D1"/>
    <w:rPr>
      <w:rFonts w:asciiTheme="majorHAnsi" w:hAnsiTheme="majorHAnsi" w:eastAsiaTheme="majorEastAsia" w:cstheme="majorBidi"/>
      <w:color w:val="0F4761" w:themeColor="accent1" w:themeShade="BF"/>
      <w:sz w:val="32"/>
      <w:szCs w:val="32"/>
    </w:rPr>
  </w:style>
  <w:style w:type="character" w:styleId="Hyperlink">
    <w:name w:val="Hyperlink"/>
    <w:basedOn w:val="DefaultParagraphFont"/>
    <w:uiPriority w:val="99"/>
    <w:unhideWhenUsed/>
    <w:rsid w:val="00D412DC"/>
    <w:rPr>
      <w:color w:val="467886" w:themeColor="hyperlink"/>
      <w:u w:val="single"/>
    </w:rPr>
  </w:style>
  <w:style w:type="character" w:styleId="UnresolvedMention">
    <w:name w:val="Unresolved Mention"/>
    <w:basedOn w:val="DefaultParagraphFont"/>
    <w:uiPriority w:val="99"/>
    <w:semiHidden/>
    <w:unhideWhenUsed/>
    <w:rsid w:val="00D412DC"/>
    <w:rPr>
      <w:color w:val="605E5C"/>
      <w:shd w:val="clear" w:color="auto" w:fill="E1DFDD"/>
    </w:rPr>
  </w:style>
  <w:style w:type="paragraph" w:styleId="ListParagraph">
    <w:name w:val="List Paragraph"/>
    <w:basedOn w:val="Normal"/>
    <w:uiPriority w:val="34"/>
    <w:qFormat/>
    <w:rsid w:val="00ED76C0"/>
    <w:pPr>
      <w:ind w:left="720"/>
      <w:contextualSpacing/>
    </w:pPr>
  </w:style>
  <w:style w:type="paragraph" w:styleId="Heading2">
    <w:uiPriority w:val="9"/>
    <w:name w:val="heading 2"/>
    <w:basedOn w:val="Normal"/>
    <w:next w:val="Normal"/>
    <w:unhideWhenUsed/>
    <w:qFormat/>
    <w:rsid w:val="6076F54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076F54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200">
      <w:bodyDiv w:val="1"/>
      <w:marLeft w:val="0"/>
      <w:marRight w:val="0"/>
      <w:marTop w:val="0"/>
      <w:marBottom w:val="0"/>
      <w:divBdr>
        <w:top w:val="none" w:sz="0" w:space="0" w:color="auto"/>
        <w:left w:val="none" w:sz="0" w:space="0" w:color="auto"/>
        <w:bottom w:val="none" w:sz="0" w:space="0" w:color="auto"/>
        <w:right w:val="none" w:sz="0" w:space="0" w:color="auto"/>
      </w:divBdr>
    </w:div>
    <w:div w:id="444734143">
      <w:bodyDiv w:val="1"/>
      <w:marLeft w:val="0"/>
      <w:marRight w:val="0"/>
      <w:marTop w:val="0"/>
      <w:marBottom w:val="0"/>
      <w:divBdr>
        <w:top w:val="none" w:sz="0" w:space="0" w:color="auto"/>
        <w:left w:val="none" w:sz="0" w:space="0" w:color="auto"/>
        <w:bottom w:val="none" w:sz="0" w:space="0" w:color="auto"/>
        <w:right w:val="none" w:sz="0" w:space="0" w:color="auto"/>
      </w:divBdr>
    </w:div>
    <w:div w:id="457837055">
      <w:bodyDiv w:val="1"/>
      <w:marLeft w:val="0"/>
      <w:marRight w:val="0"/>
      <w:marTop w:val="0"/>
      <w:marBottom w:val="0"/>
      <w:divBdr>
        <w:top w:val="none" w:sz="0" w:space="0" w:color="auto"/>
        <w:left w:val="none" w:sz="0" w:space="0" w:color="auto"/>
        <w:bottom w:val="none" w:sz="0" w:space="0" w:color="auto"/>
        <w:right w:val="none" w:sz="0" w:space="0" w:color="auto"/>
      </w:divBdr>
    </w:div>
    <w:div w:id="641157110">
      <w:bodyDiv w:val="1"/>
      <w:marLeft w:val="0"/>
      <w:marRight w:val="0"/>
      <w:marTop w:val="0"/>
      <w:marBottom w:val="0"/>
      <w:divBdr>
        <w:top w:val="none" w:sz="0" w:space="0" w:color="auto"/>
        <w:left w:val="none" w:sz="0" w:space="0" w:color="auto"/>
        <w:bottom w:val="none" w:sz="0" w:space="0" w:color="auto"/>
        <w:right w:val="none" w:sz="0" w:space="0" w:color="auto"/>
      </w:divBdr>
    </w:div>
    <w:div w:id="825829088">
      <w:bodyDiv w:val="1"/>
      <w:marLeft w:val="0"/>
      <w:marRight w:val="0"/>
      <w:marTop w:val="0"/>
      <w:marBottom w:val="0"/>
      <w:divBdr>
        <w:top w:val="none" w:sz="0" w:space="0" w:color="auto"/>
        <w:left w:val="none" w:sz="0" w:space="0" w:color="auto"/>
        <w:bottom w:val="none" w:sz="0" w:space="0" w:color="auto"/>
        <w:right w:val="none" w:sz="0" w:space="0" w:color="auto"/>
      </w:divBdr>
    </w:div>
    <w:div w:id="833181606">
      <w:bodyDiv w:val="1"/>
      <w:marLeft w:val="0"/>
      <w:marRight w:val="0"/>
      <w:marTop w:val="0"/>
      <w:marBottom w:val="0"/>
      <w:divBdr>
        <w:top w:val="none" w:sz="0" w:space="0" w:color="auto"/>
        <w:left w:val="none" w:sz="0" w:space="0" w:color="auto"/>
        <w:bottom w:val="none" w:sz="0" w:space="0" w:color="auto"/>
        <w:right w:val="none" w:sz="0" w:space="0" w:color="auto"/>
      </w:divBdr>
    </w:div>
    <w:div w:id="960724485">
      <w:bodyDiv w:val="1"/>
      <w:marLeft w:val="0"/>
      <w:marRight w:val="0"/>
      <w:marTop w:val="0"/>
      <w:marBottom w:val="0"/>
      <w:divBdr>
        <w:top w:val="none" w:sz="0" w:space="0" w:color="auto"/>
        <w:left w:val="none" w:sz="0" w:space="0" w:color="auto"/>
        <w:bottom w:val="none" w:sz="0" w:space="0" w:color="auto"/>
        <w:right w:val="none" w:sz="0" w:space="0" w:color="auto"/>
      </w:divBdr>
    </w:div>
    <w:div w:id="1420366550">
      <w:bodyDiv w:val="1"/>
      <w:marLeft w:val="0"/>
      <w:marRight w:val="0"/>
      <w:marTop w:val="0"/>
      <w:marBottom w:val="0"/>
      <w:divBdr>
        <w:top w:val="none" w:sz="0" w:space="0" w:color="auto"/>
        <w:left w:val="none" w:sz="0" w:space="0" w:color="auto"/>
        <w:bottom w:val="none" w:sz="0" w:space="0" w:color="auto"/>
        <w:right w:val="none" w:sz="0" w:space="0" w:color="auto"/>
      </w:divBdr>
    </w:div>
    <w:div w:id="1432311156">
      <w:bodyDiv w:val="1"/>
      <w:marLeft w:val="0"/>
      <w:marRight w:val="0"/>
      <w:marTop w:val="0"/>
      <w:marBottom w:val="0"/>
      <w:divBdr>
        <w:top w:val="none" w:sz="0" w:space="0" w:color="auto"/>
        <w:left w:val="none" w:sz="0" w:space="0" w:color="auto"/>
        <w:bottom w:val="none" w:sz="0" w:space="0" w:color="auto"/>
        <w:right w:val="none" w:sz="0" w:space="0" w:color="auto"/>
      </w:divBdr>
    </w:div>
    <w:div w:id="1570995854">
      <w:bodyDiv w:val="1"/>
      <w:marLeft w:val="0"/>
      <w:marRight w:val="0"/>
      <w:marTop w:val="0"/>
      <w:marBottom w:val="0"/>
      <w:divBdr>
        <w:top w:val="none" w:sz="0" w:space="0" w:color="auto"/>
        <w:left w:val="none" w:sz="0" w:space="0" w:color="auto"/>
        <w:bottom w:val="none" w:sz="0" w:space="0" w:color="auto"/>
        <w:right w:val="none" w:sz="0" w:space="0" w:color="auto"/>
      </w:divBdr>
    </w:div>
    <w:div w:id="1577321851">
      <w:bodyDiv w:val="1"/>
      <w:marLeft w:val="0"/>
      <w:marRight w:val="0"/>
      <w:marTop w:val="0"/>
      <w:marBottom w:val="0"/>
      <w:divBdr>
        <w:top w:val="none" w:sz="0" w:space="0" w:color="auto"/>
        <w:left w:val="none" w:sz="0" w:space="0" w:color="auto"/>
        <w:bottom w:val="none" w:sz="0" w:space="0" w:color="auto"/>
        <w:right w:val="none" w:sz="0" w:space="0" w:color="auto"/>
      </w:divBdr>
    </w:div>
    <w:div w:id="1683509658">
      <w:bodyDiv w:val="1"/>
      <w:marLeft w:val="0"/>
      <w:marRight w:val="0"/>
      <w:marTop w:val="0"/>
      <w:marBottom w:val="0"/>
      <w:divBdr>
        <w:top w:val="none" w:sz="0" w:space="0" w:color="auto"/>
        <w:left w:val="none" w:sz="0" w:space="0" w:color="auto"/>
        <w:bottom w:val="none" w:sz="0" w:space="0" w:color="auto"/>
        <w:right w:val="none" w:sz="0" w:space="0" w:color="auto"/>
      </w:divBdr>
    </w:div>
    <w:div w:id="1822844344">
      <w:bodyDiv w:val="1"/>
      <w:marLeft w:val="0"/>
      <w:marRight w:val="0"/>
      <w:marTop w:val="0"/>
      <w:marBottom w:val="0"/>
      <w:divBdr>
        <w:top w:val="none" w:sz="0" w:space="0" w:color="auto"/>
        <w:left w:val="none" w:sz="0" w:space="0" w:color="auto"/>
        <w:bottom w:val="none" w:sz="0" w:space="0" w:color="auto"/>
        <w:right w:val="none" w:sz="0" w:space="0" w:color="auto"/>
      </w:divBdr>
    </w:div>
    <w:div w:id="1886483472">
      <w:bodyDiv w:val="1"/>
      <w:marLeft w:val="0"/>
      <w:marRight w:val="0"/>
      <w:marTop w:val="0"/>
      <w:marBottom w:val="0"/>
      <w:divBdr>
        <w:top w:val="none" w:sz="0" w:space="0" w:color="auto"/>
        <w:left w:val="none" w:sz="0" w:space="0" w:color="auto"/>
        <w:bottom w:val="none" w:sz="0" w:space="0" w:color="auto"/>
        <w:right w:val="none" w:sz="0" w:space="0" w:color="auto"/>
      </w:divBdr>
    </w:div>
    <w:div w:id="1955672761">
      <w:bodyDiv w:val="1"/>
      <w:marLeft w:val="0"/>
      <w:marRight w:val="0"/>
      <w:marTop w:val="0"/>
      <w:marBottom w:val="0"/>
      <w:divBdr>
        <w:top w:val="none" w:sz="0" w:space="0" w:color="auto"/>
        <w:left w:val="none" w:sz="0" w:space="0" w:color="auto"/>
        <w:bottom w:val="none" w:sz="0" w:space="0" w:color="auto"/>
        <w:right w:val="none" w:sz="0" w:space="0" w:color="auto"/>
      </w:divBdr>
    </w:div>
    <w:div w:id="203541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www.ft.com/content/42f83ef4-dac0-4319-8522-0d0f6449fe7c?syn-25a6b1a6=1"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ft.com/content/264e27d9-04bc-4e99-b66b-f3838835d7c3?syn-25a6b1a6=1" TargetMode="External" Id="rId6" /><Relationship Type="http://schemas.openxmlformats.org/officeDocument/2006/relationships/hyperlink" Target="https://www.ft.com/content/fc6db12e-4518-4515-b278-22f37605bfff?syn-25a6b1a6=1" TargetMode="Externa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3.png" Id="rId1577112355" /><Relationship Type="http://schemas.openxmlformats.org/officeDocument/2006/relationships/image" Target="/media/image4.png" Id="rId1846821036" /><Relationship Type="http://schemas.microsoft.com/office/2020/10/relationships/intelligence" Target="intelligence2.xml" Id="R9b97dd0d76bd46a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Mosan Shahzad</dc:creator>
  <keywords/>
  <dc:description/>
  <lastModifiedBy>Muhammad Abdul Sameed</lastModifiedBy>
  <revision>30</revision>
  <dcterms:created xsi:type="dcterms:W3CDTF">2026-03-25T18:06:00.0000000Z</dcterms:created>
  <dcterms:modified xsi:type="dcterms:W3CDTF">2026-03-26T15:04:07.1923428Z</dcterms:modified>
</coreProperties>
</file>