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79f2cffda715c4cf0a8a4a63b5573b0c35ff4a6"/>
    <w:p>
      <w:pPr>
        <w:pStyle w:val="Heading1"/>
      </w:pPr>
      <w:r>
        <w:t xml:space="preserve">Domain-Specialized AI Agent with Compliance Guardrails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is an intelligent, domain-specific AI agent designed for financial auditing and compliance monitoring. Built in alignment with Problem Statement 5 of the Economics Times Gen AI Hackathon, The system focuses on executing financial workflows, enforcing compliance guardrails, handling edge cases, and ensuring full auditability of every decision.</w:t>
      </w:r>
    </w:p>
    <w:p>
      <w:pPr>
        <w:pStyle w:val="BodyText"/>
      </w:pPr>
      <w:r>
        <w:t xml:space="preserve">The system transforms traditional auditing from a reactive, manual process into a proactive, automated, and explainable workflow.</w:t>
      </w:r>
    </w:p>
    <w:p>
      <w:r>
        <w:pict>
          <v:rect style="width:0;height:1.5pt" o:hralign="center" o:hrstd="t" o:hr="t"/>
        </w:pict>
      </w:r>
    </w:p>
    <w:bookmarkEnd w:id="20"/>
    <w:bookmarkStart w:id="21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Modern financial auditing systems rely heavily on manual review and sample-based analysis. This leads to:</w:t>
      </w:r>
    </w:p>
    <w:p>
      <w:pPr>
        <w:pStyle w:val="Compact"/>
        <w:numPr>
          <w:ilvl w:val="0"/>
          <w:numId w:val="1001"/>
        </w:numPr>
      </w:pPr>
      <w:r>
        <w:t xml:space="preserve">Limited coverage of transactions</w:t>
      </w:r>
    </w:p>
    <w:p>
      <w:pPr>
        <w:pStyle w:val="Compact"/>
        <w:numPr>
          <w:ilvl w:val="0"/>
          <w:numId w:val="1001"/>
        </w:numPr>
      </w:pPr>
      <w:r>
        <w:t xml:space="preserve">Increased risk of missing anomalies</w:t>
      </w:r>
    </w:p>
    <w:p>
      <w:pPr>
        <w:pStyle w:val="Compact"/>
        <w:numPr>
          <w:ilvl w:val="0"/>
          <w:numId w:val="1001"/>
        </w:numPr>
      </w:pPr>
      <w:r>
        <w:t xml:space="preserve">Lack of transparency in decision-making</w:t>
      </w:r>
    </w:p>
    <w:p>
      <w:pPr>
        <w:pStyle w:val="FirstParagraph"/>
      </w:pPr>
      <w:r>
        <w:t xml:space="preserve">The challenge was to build a domain-specialized AI agent that:</w:t>
      </w:r>
    </w:p>
    <w:p>
      <w:pPr>
        <w:pStyle w:val="Compact"/>
        <w:numPr>
          <w:ilvl w:val="0"/>
          <w:numId w:val="1002"/>
        </w:numPr>
      </w:pPr>
      <w:r>
        <w:t xml:space="preserve">Executes end-to-end workflows</w:t>
      </w:r>
    </w:p>
    <w:p>
      <w:pPr>
        <w:pStyle w:val="Compact"/>
        <w:numPr>
          <w:ilvl w:val="0"/>
          <w:numId w:val="1002"/>
        </w:numPr>
      </w:pPr>
      <w:r>
        <w:t xml:space="preserve">Handles edge cases effectively</w:t>
      </w:r>
    </w:p>
    <w:p>
      <w:pPr>
        <w:pStyle w:val="Compact"/>
        <w:numPr>
          <w:ilvl w:val="0"/>
          <w:numId w:val="1002"/>
        </w:numPr>
      </w:pPr>
      <w:r>
        <w:t xml:space="preserve">Operates within strict compliance and regulatory guardrails</w:t>
      </w:r>
    </w:p>
    <w:p>
      <w:pPr>
        <w:pStyle w:val="Compact"/>
        <w:numPr>
          <w:ilvl w:val="0"/>
          <w:numId w:val="1002"/>
        </w:numPr>
      </w:pPr>
      <w:r>
        <w:t xml:space="preserve">Provides auditable reasoning for every decision</w:t>
      </w:r>
    </w:p>
    <w:p>
      <w:r>
        <w:pict>
          <v:rect style="width:0;height:1.5pt" o:hralign="center" o:hrstd="t" o:hr="t"/>
        </w:pict>
      </w:r>
    </w:p>
    <w:bookmarkEnd w:id="21"/>
    <w:bookmarkStart w:id="22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The system addresses these challenges by acting as a compliance-aware AI agent that:</w:t>
      </w:r>
    </w:p>
    <w:p>
      <w:pPr>
        <w:pStyle w:val="Compact"/>
        <w:numPr>
          <w:ilvl w:val="0"/>
          <w:numId w:val="1003"/>
        </w:numPr>
      </w:pPr>
      <w:r>
        <w:t xml:space="preserve">Analyzes 100% of transaction data</w:t>
      </w:r>
    </w:p>
    <w:p>
      <w:pPr>
        <w:pStyle w:val="Compact"/>
        <w:numPr>
          <w:ilvl w:val="0"/>
          <w:numId w:val="1003"/>
        </w:numPr>
      </w:pPr>
      <w:r>
        <w:t xml:space="preserve">Detects anomalies using rule-based and statistical methods</w:t>
      </w:r>
    </w:p>
    <w:p>
      <w:pPr>
        <w:pStyle w:val="Compact"/>
        <w:numPr>
          <w:ilvl w:val="0"/>
          <w:numId w:val="1003"/>
        </w:numPr>
      </w:pPr>
      <w:r>
        <w:t xml:space="preserve">Provides explainable, human-readable insights</w:t>
      </w:r>
    </w:p>
    <w:p>
      <w:pPr>
        <w:pStyle w:val="Compact"/>
        <w:numPr>
          <w:ilvl w:val="0"/>
          <w:numId w:val="1003"/>
        </w:numPr>
      </w:pPr>
      <w:r>
        <w:t xml:space="preserve">Guides auditors with actionable recommendations</w:t>
      </w:r>
    </w:p>
    <w:p>
      <w:r>
        <w:pict>
          <v:rect style="width:0;height:1.5pt" o:hralign="center" o:hrstd="t" o:hr="t"/>
        </w:pict>
      </w:r>
    </w:p>
    <w:bookmarkEnd w:id="22"/>
    <w:bookmarkStart w:id="31" w:name="key-features"/>
    <w:p>
      <w:pPr>
        <w:pStyle w:val="Heading2"/>
      </w:pPr>
      <w:r>
        <w:t xml:space="preserve">Key Features</w:t>
      </w:r>
    </w:p>
    <w:bookmarkStart w:id="23" w:name="centralized-dashboard"/>
    <w:p>
      <w:pPr>
        <w:pStyle w:val="Heading3"/>
      </w:pPr>
      <w:r>
        <w:t xml:space="preserve">1. Centralized Dashboard</w:t>
      </w:r>
    </w:p>
    <w:p>
      <w:pPr>
        <w:pStyle w:val="Compact"/>
        <w:numPr>
          <w:ilvl w:val="0"/>
          <w:numId w:val="1004"/>
        </w:numPr>
      </w:pPr>
      <w:r>
        <w:t xml:space="preserve">Real-time overview of transactions</w:t>
      </w:r>
    </w:p>
    <w:p>
      <w:pPr>
        <w:pStyle w:val="Compact"/>
        <w:numPr>
          <w:ilvl w:val="0"/>
          <w:numId w:val="1004"/>
        </w:numPr>
      </w:pPr>
      <w:r>
        <w:t xml:space="preserve">Highlights high-risk activities</w:t>
      </w:r>
    </w:p>
    <w:p>
      <w:pPr>
        <w:pStyle w:val="Compact"/>
        <w:numPr>
          <w:ilvl w:val="0"/>
          <w:numId w:val="1004"/>
        </w:numPr>
      </w:pPr>
      <w:r>
        <w:t xml:space="preserve">Displays key compliance insights</w:t>
      </w:r>
    </w:p>
    <w:bookmarkEnd w:id="23"/>
    <w:bookmarkStart w:id="24" w:name="transaction-monitoring-system"/>
    <w:p>
      <w:pPr>
        <w:pStyle w:val="Heading3"/>
      </w:pPr>
      <w:r>
        <w:t xml:space="preserve">2. Transaction Monitoring System</w:t>
      </w:r>
    </w:p>
    <w:p>
      <w:pPr>
        <w:pStyle w:val="Compact"/>
        <w:numPr>
          <w:ilvl w:val="0"/>
          <w:numId w:val="1005"/>
        </w:numPr>
      </w:pPr>
      <w:r>
        <w:t xml:space="preserve">Evaluates all transactions using compliance rules</w:t>
      </w:r>
    </w:p>
    <w:p>
      <w:pPr>
        <w:pStyle w:val="Compact"/>
        <w:numPr>
          <w:ilvl w:val="0"/>
          <w:numId w:val="1005"/>
        </w:numPr>
      </w:pPr>
      <w:r>
        <w:t xml:space="preserve">Supports filtering and detailed analysis</w:t>
      </w:r>
    </w:p>
    <w:p>
      <w:pPr>
        <w:pStyle w:val="Compact"/>
        <w:numPr>
          <w:ilvl w:val="0"/>
          <w:numId w:val="1005"/>
        </w:numPr>
      </w:pPr>
      <w:r>
        <w:t xml:space="preserve">Detects anomalies and unusual patterns</w:t>
      </w:r>
    </w:p>
    <w:bookmarkEnd w:id="24"/>
    <w:bookmarkStart w:id="25" w:name="high-risk-transaction-detection"/>
    <w:p>
      <w:pPr>
        <w:pStyle w:val="Heading3"/>
      </w:pPr>
      <w:r>
        <w:t xml:space="preserve">3. High-Risk Transaction Detection</w:t>
      </w:r>
    </w:p>
    <w:p>
      <w:pPr>
        <w:pStyle w:val="Compact"/>
        <w:numPr>
          <w:ilvl w:val="0"/>
          <w:numId w:val="1006"/>
        </w:numPr>
      </w:pPr>
      <w:r>
        <w:t xml:space="preserve">Automatically flags suspicious transactions</w:t>
      </w:r>
    </w:p>
    <w:p>
      <w:pPr>
        <w:pStyle w:val="Compact"/>
        <w:numPr>
          <w:ilvl w:val="0"/>
          <w:numId w:val="1006"/>
        </w:numPr>
      </w:pPr>
      <w:r>
        <w:t xml:space="preserve">Prioritizes them based on severity</w:t>
      </w:r>
    </w:p>
    <w:p>
      <w:pPr>
        <w:pStyle w:val="Compact"/>
        <w:numPr>
          <w:ilvl w:val="0"/>
          <w:numId w:val="1006"/>
        </w:numPr>
      </w:pPr>
      <w:r>
        <w:t xml:space="preserve">Enables focused auditing</w:t>
      </w:r>
    </w:p>
    <w:bookmarkEnd w:id="25"/>
    <w:bookmarkStart w:id="26" w:name="explainability-engine-generative-ai"/>
    <w:p>
      <w:pPr>
        <w:pStyle w:val="Heading3"/>
      </w:pPr>
      <w:r>
        <w:t xml:space="preserve">4. Explainability Engine (Generative AI)</w:t>
      </w:r>
    </w:p>
    <w:p>
      <w:pPr>
        <w:pStyle w:val="Compact"/>
        <w:numPr>
          <w:ilvl w:val="0"/>
          <w:numId w:val="1007"/>
        </w:numPr>
      </w:pPr>
      <w:r>
        <w:t xml:space="preserve">Provides clear reasons for flagging transactions</w:t>
      </w:r>
    </w:p>
    <w:p>
      <w:pPr>
        <w:pStyle w:val="Compact"/>
        <w:numPr>
          <w:ilvl w:val="0"/>
          <w:numId w:val="1007"/>
        </w:numPr>
      </w:pPr>
      <w:r>
        <w:t xml:space="preserve">Converts complex logic into human-readable explanations</w:t>
      </w:r>
    </w:p>
    <w:p>
      <w:pPr>
        <w:pStyle w:val="Compact"/>
        <w:numPr>
          <w:ilvl w:val="0"/>
          <w:numId w:val="1007"/>
        </w:numPr>
      </w:pPr>
      <w:r>
        <w:t xml:space="preserve">Ensures transparency and trust</w:t>
      </w:r>
    </w:p>
    <w:bookmarkEnd w:id="26"/>
    <w:bookmarkStart w:id="27" w:name="resolution-guidance"/>
    <w:p>
      <w:pPr>
        <w:pStyle w:val="Heading3"/>
      </w:pPr>
      <w:r>
        <w:t xml:space="preserve">5. Resolution Guidance</w:t>
      </w:r>
    </w:p>
    <w:p>
      <w:pPr>
        <w:pStyle w:val="Compact"/>
        <w:numPr>
          <w:ilvl w:val="0"/>
          <w:numId w:val="1008"/>
        </w:numPr>
      </w:pPr>
      <w:r>
        <w:t xml:space="preserve">Suggests corrective actions</w:t>
      </w:r>
    </w:p>
    <w:p>
      <w:pPr>
        <w:pStyle w:val="Compact"/>
        <w:numPr>
          <w:ilvl w:val="0"/>
          <w:numId w:val="1008"/>
        </w:numPr>
      </w:pPr>
      <w:r>
        <w:t xml:space="preserve">Helps auditors understand how to clear flagged transactions</w:t>
      </w:r>
    </w:p>
    <w:p>
      <w:pPr>
        <w:pStyle w:val="Compact"/>
        <w:numPr>
          <w:ilvl w:val="0"/>
          <w:numId w:val="1008"/>
        </w:numPr>
      </w:pPr>
      <w:r>
        <w:t xml:space="preserve">Acts as a compliance advisory layer</w:t>
      </w:r>
    </w:p>
    <w:bookmarkEnd w:id="27"/>
    <w:bookmarkStart w:id="28" w:name="audit-queue"/>
    <w:p>
      <w:pPr>
        <w:pStyle w:val="Heading3"/>
      </w:pPr>
      <w:r>
        <w:t xml:space="preserve">6. Audit Queue</w:t>
      </w:r>
    </w:p>
    <w:p>
      <w:pPr>
        <w:pStyle w:val="Compact"/>
        <w:numPr>
          <w:ilvl w:val="0"/>
          <w:numId w:val="1009"/>
        </w:numPr>
      </w:pPr>
      <w:r>
        <w:t xml:space="preserve">Structured workflow for reviewing flagged transactions</w:t>
      </w:r>
    </w:p>
    <w:p>
      <w:pPr>
        <w:pStyle w:val="Compact"/>
        <w:numPr>
          <w:ilvl w:val="0"/>
          <w:numId w:val="1009"/>
        </w:numPr>
      </w:pPr>
      <w:r>
        <w:t xml:space="preserve">Supports approval, rejection, and annotations</w:t>
      </w:r>
    </w:p>
    <w:p>
      <w:pPr>
        <w:pStyle w:val="Compact"/>
        <w:numPr>
          <w:ilvl w:val="0"/>
          <w:numId w:val="1009"/>
        </w:numPr>
      </w:pPr>
      <w:r>
        <w:t xml:space="preserve">Maintains complete audit trails</w:t>
      </w:r>
    </w:p>
    <w:bookmarkEnd w:id="28"/>
    <w:bookmarkStart w:id="29" w:name="file-upload-system"/>
    <w:p>
      <w:pPr>
        <w:pStyle w:val="Heading3"/>
      </w:pPr>
      <w:r>
        <w:t xml:space="preserve">7. File Upload System</w:t>
      </w:r>
    </w:p>
    <w:p>
      <w:pPr>
        <w:pStyle w:val="Compact"/>
        <w:numPr>
          <w:ilvl w:val="0"/>
          <w:numId w:val="1010"/>
        </w:numPr>
      </w:pPr>
      <w:r>
        <w:t xml:space="preserve">Accepts invoices, PDFs, and spreadsheets</w:t>
      </w:r>
    </w:p>
    <w:p>
      <w:pPr>
        <w:pStyle w:val="Compact"/>
        <w:numPr>
          <w:ilvl w:val="0"/>
          <w:numId w:val="1010"/>
        </w:numPr>
      </w:pPr>
      <w:r>
        <w:t xml:space="preserve">Automatically structures and processes data</w:t>
      </w:r>
    </w:p>
    <w:bookmarkEnd w:id="29"/>
    <w:bookmarkStart w:id="30" w:name="vendor-analytics"/>
    <w:p>
      <w:pPr>
        <w:pStyle w:val="Heading3"/>
      </w:pPr>
      <w:r>
        <w:t xml:space="preserve">8. Vendor Analytics</w:t>
      </w:r>
    </w:p>
    <w:p>
      <w:pPr>
        <w:pStyle w:val="Compact"/>
        <w:numPr>
          <w:ilvl w:val="0"/>
          <w:numId w:val="1011"/>
        </w:numPr>
      </w:pPr>
      <w:r>
        <w:t xml:space="preserve">Tracks vendor behavior</w:t>
      </w:r>
    </w:p>
    <w:p>
      <w:pPr>
        <w:pStyle w:val="Compact"/>
        <w:numPr>
          <w:ilvl w:val="0"/>
          <w:numId w:val="1011"/>
        </w:numPr>
      </w:pPr>
      <w:r>
        <w:t xml:space="preserve">Identifies risk patterns</w:t>
      </w:r>
    </w:p>
    <w:p>
      <w:pPr>
        <w:pStyle w:val="Compact"/>
        <w:numPr>
          <w:ilvl w:val="0"/>
          <w:numId w:val="1011"/>
        </w:numPr>
      </w:pPr>
      <w:r>
        <w:t xml:space="preserve">Supports proactive decision-making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mpliance-guardrails"/>
    <w:p>
      <w:pPr>
        <w:pStyle w:val="Heading2"/>
      </w:pPr>
      <w:r>
        <w:t xml:space="preserve">Compliance Guardrails</w:t>
      </w:r>
    </w:p>
    <w:p>
      <w:pPr>
        <w:pStyle w:val="FirstParagraph"/>
      </w:pPr>
      <w:r>
        <w:t xml:space="preserve">The system is built with strict compliance enforcement:</w:t>
      </w:r>
    </w:p>
    <w:p>
      <w:pPr>
        <w:pStyle w:val="Compact"/>
        <w:numPr>
          <w:ilvl w:val="0"/>
          <w:numId w:val="1012"/>
        </w:numPr>
      </w:pPr>
      <w:r>
        <w:t xml:space="preserve">Rules mapped to audit standards</w:t>
      </w:r>
    </w:p>
    <w:p>
      <w:pPr>
        <w:pStyle w:val="Compact"/>
        <w:numPr>
          <w:ilvl w:val="0"/>
          <w:numId w:val="1012"/>
        </w:numPr>
      </w:pPr>
      <w:r>
        <w:t xml:space="preserve">Ensures all outputs remain within regulatory boundaries</w:t>
      </w:r>
    </w:p>
    <w:p>
      <w:pPr>
        <w:pStyle w:val="Compact"/>
        <w:numPr>
          <w:ilvl w:val="0"/>
          <w:numId w:val="1012"/>
        </w:numPr>
      </w:pPr>
      <w:r>
        <w:t xml:space="preserve">Prevents invalid or non-compliant decisions</w:t>
      </w:r>
    </w:p>
    <w:p>
      <w:r>
        <w:pict>
          <v:rect style="width:0;height:1.5pt" o:hralign="center" o:hrstd="t" o:hr="t"/>
        </w:pict>
      </w:r>
    </w:p>
    <w:bookmarkEnd w:id="32"/>
    <w:bookmarkStart w:id="33" w:name="explainability-auditability"/>
    <w:p>
      <w:pPr>
        <w:pStyle w:val="Heading2"/>
      </w:pPr>
      <w:r>
        <w:t xml:space="preserve">Explainability &amp; Auditability</w:t>
      </w:r>
    </w:p>
    <w:p>
      <w:pPr>
        <w:pStyle w:val="FirstParagraph"/>
      </w:pPr>
      <w:r>
        <w:t xml:space="preserve">The system ensures that every decision is:</w:t>
      </w:r>
    </w:p>
    <w:p>
      <w:pPr>
        <w:pStyle w:val="Compact"/>
        <w:numPr>
          <w:ilvl w:val="0"/>
          <w:numId w:val="1013"/>
        </w:numPr>
      </w:pPr>
      <w:r>
        <w:t xml:space="preserve">Traceable</w:t>
      </w:r>
    </w:p>
    <w:p>
      <w:pPr>
        <w:pStyle w:val="Compact"/>
        <w:numPr>
          <w:ilvl w:val="0"/>
          <w:numId w:val="1013"/>
        </w:numPr>
      </w:pPr>
      <w:r>
        <w:t xml:space="preserve">Interpretable</w:t>
      </w:r>
    </w:p>
    <w:p>
      <w:pPr>
        <w:pStyle w:val="Compact"/>
        <w:numPr>
          <w:ilvl w:val="0"/>
          <w:numId w:val="1013"/>
        </w:numPr>
      </w:pPr>
      <w:r>
        <w:t xml:space="preserve">Justified with clear reasoning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A transaction may be flagged due to high value, unusual timing, and insufficient documentation.</w:t>
      </w:r>
    </w:p>
    <w:p>
      <w:pPr>
        <w:pStyle w:val="FirstParagraph"/>
      </w:pPr>
      <w:r>
        <w:t xml:space="preserve">The system also provides guidance on how the transaction can be validated or cleared.</w:t>
      </w:r>
    </w:p>
    <w:p>
      <w:r>
        <w:pict>
          <v:rect style="width:0;height:1.5pt" o:hralign="center" o:hrstd="t" o:hr="t"/>
        </w:pict>
      </w:r>
    </w:p>
    <w:bookmarkEnd w:id="33"/>
    <w:bookmarkStart w:id="34" w:name="edge-case-handling"/>
    <w:p>
      <w:pPr>
        <w:pStyle w:val="Heading2"/>
      </w:pPr>
      <w:r>
        <w:t xml:space="preserve">Edge Case Handling</w:t>
      </w:r>
    </w:p>
    <w:p>
      <w:pPr>
        <w:pStyle w:val="Compact"/>
        <w:numPr>
          <w:ilvl w:val="0"/>
          <w:numId w:val="1014"/>
        </w:numPr>
      </w:pPr>
      <w:r>
        <w:t xml:space="preserve">Distinguishes between anomalies and valid exceptions</w:t>
      </w:r>
    </w:p>
    <w:p>
      <w:pPr>
        <w:pStyle w:val="Compact"/>
        <w:numPr>
          <w:ilvl w:val="0"/>
          <w:numId w:val="1014"/>
        </w:numPr>
      </w:pPr>
      <w:r>
        <w:t xml:space="preserve">Reduces false positives</w:t>
      </w:r>
    </w:p>
    <w:p>
      <w:pPr>
        <w:pStyle w:val="Compact"/>
        <w:numPr>
          <w:ilvl w:val="0"/>
          <w:numId w:val="1014"/>
        </w:numPr>
      </w:pPr>
      <w:r>
        <w:t xml:space="preserve">Ensures accurate compliance decisions</w:t>
      </w:r>
    </w:p>
    <w:p>
      <w:r>
        <w:pict>
          <v:rect style="width:0;height:1.5pt" o:hralign="center" o:hrstd="t" o:hr="t"/>
        </w:pict>
      </w:r>
    </w:p>
    <w:bookmarkEnd w:id="34"/>
    <w:bookmarkStart w:id="38" w:name="tech-stack"/>
    <w:p>
      <w:pPr>
        <w:pStyle w:val="Heading2"/>
      </w:pPr>
      <w:r>
        <w:t xml:space="preserve">Tech Stack</w:t>
      </w:r>
    </w:p>
    <w:bookmarkStart w:id="35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5"/>
        </w:numPr>
      </w:pPr>
      <w:r>
        <w:t xml:space="preserve">React.js</w:t>
      </w:r>
    </w:p>
    <w:bookmarkEnd w:id="35"/>
    <w:bookmarkStart w:id="36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6"/>
        </w:numPr>
      </w:pPr>
      <w:r>
        <w:t xml:space="preserve">Python (FastAPI/Flask)</w:t>
      </w:r>
    </w:p>
    <w:bookmarkEnd w:id="36"/>
    <w:bookmarkStart w:id="37" w:name="ailogic-layer"/>
    <w:p>
      <w:pPr>
        <w:pStyle w:val="Heading3"/>
      </w:pPr>
      <w:r>
        <w:t xml:space="preserve">AI/Logic Layer</w:t>
      </w:r>
    </w:p>
    <w:p>
      <w:pPr>
        <w:pStyle w:val="Compact"/>
        <w:numPr>
          <w:ilvl w:val="0"/>
          <w:numId w:val="1017"/>
        </w:numPr>
      </w:pPr>
      <w:r>
        <w:t xml:space="preserve">Rule-based compliance engine</w:t>
      </w:r>
    </w:p>
    <w:p>
      <w:pPr>
        <w:pStyle w:val="Compact"/>
        <w:numPr>
          <w:ilvl w:val="0"/>
          <w:numId w:val="1017"/>
        </w:numPr>
      </w:pPr>
      <w:r>
        <w:t xml:space="preserve">Statistical anomaly detection</w:t>
      </w:r>
    </w:p>
    <w:p>
      <w:pPr>
        <w:pStyle w:val="Compact"/>
        <w:numPr>
          <w:ilvl w:val="0"/>
          <w:numId w:val="1017"/>
        </w:numPr>
      </w:pPr>
      <w:r>
        <w:t xml:space="preserve">Generative AI for explanations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workflow"/>
    <w:p>
      <w:pPr>
        <w:pStyle w:val="Heading2"/>
      </w:pPr>
      <w:r>
        <w:t xml:space="preserve">Workflow</w:t>
      </w:r>
    </w:p>
    <w:p>
      <w:pPr>
        <w:pStyle w:val="Compact"/>
        <w:numPr>
          <w:ilvl w:val="0"/>
          <w:numId w:val="1018"/>
        </w:numPr>
      </w:pPr>
      <w:r>
        <w:t xml:space="preserve">Upload transaction data</w:t>
      </w:r>
    </w:p>
    <w:p>
      <w:pPr>
        <w:pStyle w:val="Compact"/>
        <w:numPr>
          <w:ilvl w:val="0"/>
          <w:numId w:val="1018"/>
        </w:numPr>
      </w:pPr>
      <w:r>
        <w:t xml:space="preserve">Data is cleaned and structured</w:t>
      </w:r>
    </w:p>
    <w:p>
      <w:pPr>
        <w:pStyle w:val="Compact"/>
        <w:numPr>
          <w:ilvl w:val="0"/>
          <w:numId w:val="1018"/>
        </w:numPr>
      </w:pPr>
      <w:r>
        <w:t xml:space="preserve">Risk engine evaluates transactions</w:t>
      </w:r>
    </w:p>
    <w:p>
      <w:pPr>
        <w:pStyle w:val="Compact"/>
        <w:numPr>
          <w:ilvl w:val="0"/>
          <w:numId w:val="1018"/>
        </w:numPr>
      </w:pPr>
      <w:r>
        <w:t xml:space="preserve">High-risk cases are flagged</w:t>
      </w:r>
    </w:p>
    <w:p>
      <w:pPr>
        <w:pStyle w:val="Compact"/>
        <w:numPr>
          <w:ilvl w:val="0"/>
          <w:numId w:val="1018"/>
        </w:numPr>
      </w:pPr>
      <w:r>
        <w:t xml:space="preserve">Explanations are generated</w:t>
      </w:r>
    </w:p>
    <w:p>
      <w:pPr>
        <w:pStyle w:val="Compact"/>
        <w:numPr>
          <w:ilvl w:val="0"/>
          <w:numId w:val="1018"/>
        </w:numPr>
      </w:pPr>
      <w:r>
        <w:t xml:space="preserve">Transactions move to audit queue</w:t>
      </w:r>
    </w:p>
    <w:p>
      <w:pPr>
        <w:pStyle w:val="Compact"/>
        <w:numPr>
          <w:ilvl w:val="0"/>
          <w:numId w:val="1018"/>
        </w:numPr>
      </w:pPr>
      <w:r>
        <w:t xml:space="preserve">Auditors review and take action</w:t>
      </w:r>
    </w:p>
    <w:p>
      <w:r>
        <w:pict>
          <v:rect style="width:0;height:1.5pt" o:hralign="center" o:hrstd="t" o:hr="t"/>
        </w:pict>
      </w:r>
    </w:p>
    <w:bookmarkEnd w:id="39"/>
    <w:bookmarkStart w:id="40" w:name="impact"/>
    <w:p>
      <w:pPr>
        <w:pStyle w:val="Heading2"/>
      </w:pPr>
      <w:r>
        <w:t xml:space="preserve">Impact</w:t>
      </w:r>
    </w:p>
    <w:p>
      <w:pPr>
        <w:pStyle w:val="Compact"/>
        <w:numPr>
          <w:ilvl w:val="0"/>
          <w:numId w:val="1019"/>
        </w:numPr>
      </w:pPr>
      <w:r>
        <w:t xml:space="preserve">Improves audit efficiency</w:t>
      </w:r>
    </w:p>
    <w:p>
      <w:pPr>
        <w:pStyle w:val="Compact"/>
        <w:numPr>
          <w:ilvl w:val="0"/>
          <w:numId w:val="1019"/>
        </w:numPr>
      </w:pPr>
      <w:r>
        <w:t xml:space="preserve">Reduces manual effort</w:t>
      </w:r>
    </w:p>
    <w:p>
      <w:pPr>
        <w:pStyle w:val="Compact"/>
        <w:numPr>
          <w:ilvl w:val="0"/>
          <w:numId w:val="1019"/>
        </w:numPr>
      </w:pPr>
      <w:r>
        <w:t xml:space="preserve">Ensures full data coverage</w:t>
      </w:r>
    </w:p>
    <w:p>
      <w:pPr>
        <w:pStyle w:val="Compact"/>
        <w:numPr>
          <w:ilvl w:val="0"/>
          <w:numId w:val="1019"/>
        </w:numPr>
      </w:pPr>
      <w:r>
        <w:t xml:space="preserve">Enhances transparency and trust</w:t>
      </w:r>
    </w:p>
    <w:p>
      <w:pPr>
        <w:pStyle w:val="Compact"/>
        <w:numPr>
          <w:ilvl w:val="0"/>
          <w:numId w:val="1019"/>
        </w:numPr>
      </w:pPr>
      <w:r>
        <w:t xml:space="preserve">Strengthens compliance adherence</w:t>
      </w:r>
    </w:p>
    <w:p>
      <w:r>
        <w:pict>
          <v:rect style="width:0;height:1.5pt" o:hralign="center" o:hrstd="t" o:hr="t"/>
        </w:pict>
      </w:r>
    </w:p>
    <w:bookmarkEnd w:id="40"/>
    <w:bookmarkStart w:id="4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is not just an anomaly detection tool — it is a domain-aware AI agent that combines compliance guardrails, explainability, and workflow automation to redefine financial auditing.</w:t>
      </w:r>
    </w:p>
    <w:p>
      <w:pPr>
        <w:pStyle w:val="BodyText"/>
      </w:pPr>
      <w:r>
        <w:t xml:space="preserve">It empowers organizations to make informed, compliant, and auditable decisio</w:t>
      </w:r>
    </w:p>
    <w:p>
      <w:r>
        <w:pict>
          <v:rect style="width:0;height:1.5pt" o:hralign="center" o:hrstd="t" o:hr="t"/>
        </w:pict>
      </w:r>
    </w:p>
    <w:bookmarkEnd w:id="41"/>
    <w:bookmarkStart w:id="4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developed for the Economics Times Gen AI Hackathon.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2026-03-29T14:22:52Z</dcterms:created>
  <dcterms:modified xsi:type="dcterms:W3CDTF">2026-03-29T14:22:52Z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