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45"/>
          <w:sz w:val="32"/>
          <w:szCs w:val="32"/>
        </w:rPr>
        <w:t xml:space="preserve">PRCL-0019 — Quick Summary</w:t>
      </w:r>
    </w:p>
    <w:p>
      <w:pPr>
        <w:spacing w:after="180"/>
        <w:jc w:val="center"/>
      </w:pPr>
      <w:r>
        <w:rPr>
          <w:i/>
          <w:iCs/>
          <w:color w:val="555555"/>
          <w:sz w:val="19"/>
          <w:szCs w:val="19"/>
        </w:rPr>
        <w:t xml:space="preserve">Sales Effectiveness — Lead Category Prediction for FicZon Inc.</w:t>
      </w:r>
    </w:p>
    <w:p>
      <w:pPr>
        <w:pStyle w:val="Heading1"/>
        <w:pBdr>
          <w:bottom w:val="single" w:color="2E6B5E" w:sz="6" w:space="3"/>
        </w:pBdr>
        <w:spacing w:after="90" w:before="160"/>
      </w:pPr>
      <w:r>
        <w:rPr>
          <w:b/>
          <w:bCs/>
          <w:color w:val="1F4E45"/>
          <w:sz w:val="24"/>
          <w:szCs w:val="24"/>
        </w:rPr>
        <w:t xml:space="preserve">The Problem</w:t>
      </w:r>
    </w:p>
    <w:p>
      <w:pPr>
        <w:spacing w:after="100" w:line="260"/>
      </w:pPr>
      <w:r>
        <w:rPr>
          <w:sz w:val="19"/>
          <w:szCs w:val="19"/>
        </w:rPr>
        <w:t xml:space="preserve">FicZon's sales leads were sorted manually into good/bad categories, and quality checks only happened after the fact. The goal: use ML to flag each lead as High Potential or Low Potential the moment it's captured, so agents know where to focus first.</w:t>
      </w:r>
    </w:p>
    <w:p>
      <w:pPr>
        <w:pStyle w:val="Heading1"/>
        <w:pBdr>
          <w:bottom w:val="single" w:color="2E6B5E" w:sz="6" w:space="3"/>
        </w:pBdr>
        <w:spacing w:after="90" w:before="160"/>
      </w:pPr>
      <w:r>
        <w:rPr>
          <w:b/>
          <w:bCs/>
          <w:color w:val="1F4E45"/>
          <w:sz w:val="24"/>
          <w:szCs w:val="24"/>
        </w:rPr>
        <w:t xml:space="preserve">The Data</w:t>
      </w:r>
    </w:p>
    <w:p>
      <w:pPr>
        <w:spacing w:after="100" w:line="260"/>
      </w:pPr>
      <w:r>
        <w:rPr>
          <w:sz w:val="19"/>
          <w:szCs w:val="19"/>
        </w:rPr>
        <w:t xml:space="preserve">7,422 real leads pulled live from FicZon's MySQL database (9 columns: source, agent, location, delivery mode, status, etc.). Missing values were kept as an "Unknown" category rather than dropped; 2 duplicate rows were removed.</w:t>
      </w:r>
    </w:p>
    <w:p>
      <w:pPr>
        <w:pStyle w:val="Heading1"/>
        <w:pBdr>
          <w:bottom w:val="single" w:color="2E6B5E" w:sz="6" w:space="3"/>
        </w:pBdr>
        <w:spacing w:after="90" w:before="160"/>
      </w:pPr>
      <w:r>
        <w:rPr>
          <w:b/>
          <w:bCs/>
          <w:color w:val="1F4E45"/>
          <w:sz w:val="24"/>
          <w:szCs w:val="24"/>
        </w:rPr>
        <w:t xml:space="preserve">The Key Challenge</w:t>
      </w:r>
    </w:p>
    <w:p>
      <w:pPr>
        <w:spacing w:after="100" w:line="260"/>
      </w:pPr>
      <w:r>
        <w:rPr>
          <w:sz w:val="19"/>
          <w:szCs w:val="19"/>
        </w:rPr>
        <w:t xml:space="preserve">The target column (Lead_Category) had to be built from the raw Status field. An early mapping used guessed status labels that didn't exactly match the database's real, case-sensitive values (e.g. 'CONVERTED' vs. 'Converted'), silently collapsing every lead into one class. The fix: inspect the real status strings and rebuild the mapping from them — restoring a genuine 61.6% / 38.4% Low/High split.</w:t>
      </w:r>
    </w:p>
    <w:p>
      <w:pPr>
        <w:pStyle w:val="Heading1"/>
        <w:pBdr>
          <w:bottom w:val="single" w:color="2E6B5E" w:sz="6" w:space="3"/>
        </w:pBdr>
        <w:spacing w:after="90" w:before="160"/>
      </w:pPr>
      <w:r>
        <w:rPr>
          <w:b/>
          <w:bCs/>
          <w:color w:val="1F4E45"/>
          <w:sz w:val="24"/>
          <w:szCs w:val="24"/>
        </w:rPr>
        <w:t xml:space="preserve">The Models</w:t>
      </w:r>
    </w:p>
    <w:p>
      <w:pPr>
        <w:spacing w:after="100" w:line="260"/>
      </w:pPr>
      <w:r>
        <w:rPr>
          <w:sz w:val="19"/>
          <w:szCs w:val="19"/>
        </w:rPr>
        <w:t xml:space="preserve">Five algorithms were compared, each deliberately regularized to avoid overfitting on the sparse, 64-column, one-hot-encoded feature set: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0"/>
        <w:gridCol w:w="2050"/>
        <w:gridCol w:w="2050"/>
      </w:tblGrid>
      <w:tr>
        <w:tc>
          <w:tcPr>
            <w:tcW w:type="dxa" w:w="3200"/>
            <w:shd w:fill="1F4E4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50"/>
            <w:shd w:fill="1F4E4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Acc.</w:t>
            </w:r>
          </w:p>
        </w:tc>
        <w:tc>
          <w:tcPr>
            <w:tcW w:type="dxa" w:w="2050"/>
            <w:shd w:fill="1F4E4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  <w:tc>
          <w:tcPr>
            <w:tcW w:type="dxa" w:w="2050"/>
            <w:shd w:fill="1F4E4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Overfit Gap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Gradient Boosting (best)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72.04%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0.7112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2.70 pts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KNN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69.00%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0.6810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5.24 pts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68.13%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0.6851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2.71 pts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Random Forest (Tuned)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67.72%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0.6816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6.69 pts</w:t>
            </w:r>
          </w:p>
        </w:tc>
      </w:tr>
    </w:tbl>
    <w:p>
      <w:pPr>
        <w:spacing w:after="100" w:line="260"/>
      </w:pPr>
      <w:r>
        <w:rPr>
          <w:sz w:val="19"/>
          <w:szCs w:val="19"/>
        </w:rPr>
        <w:t xml:space="preserve">Gradient Boosting won on every metric that matters, including having the smallest train-test gap — meaning it generalizes best rather than just memorizing training data.</w:t>
      </w:r>
    </w:p>
    <w:p>
      <w:pPr>
        <w:pStyle w:val="Heading1"/>
        <w:pBdr>
          <w:bottom w:val="single" w:color="2E6B5E" w:sz="6" w:space="3"/>
        </w:pBdr>
        <w:spacing w:after="90" w:before="160"/>
      </w:pPr>
      <w:r>
        <w:rPr>
          <w:b/>
          <w:bCs/>
          <w:color w:val="1F4E45"/>
          <w:sz w:val="24"/>
          <w:szCs w:val="24"/>
        </w:rPr>
        <w:t xml:space="preserve">What Drives Predictions</w:t>
      </w:r>
    </w:p>
    <w:p>
      <w:pPr>
        <w:spacing w:after="100" w:line="260"/>
      </w:pPr>
      <w:r>
        <w:rPr>
          <w:sz w:val="19"/>
          <w:szCs w:val="19"/>
        </w:rPr>
        <w:t xml:space="preserve">Geography (location) is the single strongest signal, followed by the product and delivery mode. Sales-agent identity and customer-referral leads matter too.</w:t>
      </w:r>
    </w:p>
    <w:p>
      <w:pPr>
        <w:pStyle w:val="Heading1"/>
        <w:pBdr>
          <w:bottom w:val="single" w:color="2E6B5E" w:sz="6" w:space="3"/>
        </w:pBdr>
        <w:spacing w:after="90" w:before="160"/>
      </w:pPr>
      <w:r>
        <w:rPr>
          <w:b/>
          <w:bCs/>
          <w:color w:val="1F4E45"/>
          <w:sz w:val="24"/>
          <w:szCs w:val="24"/>
        </w:rPr>
        <w:t xml:space="preserve">Business Takeaways</w:t>
      </w:r>
    </w:p>
    <w:p>
      <w:pPr>
        <w:pStyle w:val="ListParagraph"/>
        <w:numPr>
          <w:ilvl w:val="0"/>
          <w:numId w:val="1"/>
        </w:numPr>
        <w:spacing w:after="60" w:line="255"/>
      </w:pPr>
      <w:r>
        <w:rPr>
          <w:sz w:val="19"/>
          <w:szCs w:val="19"/>
        </w:rPr>
        <w:t xml:space="preserve">Score leads automatically at capture so agents prioritize the right ones immediately.</w:t>
      </w:r>
    </w:p>
    <w:p>
      <w:pPr>
        <w:pStyle w:val="ListParagraph"/>
        <w:numPr>
          <w:ilvl w:val="0"/>
          <w:numId w:val="1"/>
        </w:numPr>
        <w:spacing w:after="60" w:line="255"/>
      </w:pPr>
      <w:r>
        <w:rPr>
          <w:sz w:val="19"/>
          <w:szCs w:val="19"/>
        </w:rPr>
        <w:t xml:space="preserve">Conversion likelihood varies strongly by region — consider territory-based strategy.</w:t>
      </w:r>
    </w:p>
    <w:p>
      <w:pPr>
        <w:pStyle w:val="ListParagraph"/>
        <w:numPr>
          <w:ilvl w:val="0"/>
          <w:numId w:val="1"/>
        </w:numPr>
        <w:spacing w:after="60" w:line="255"/>
      </w:pPr>
      <w:r>
        <w:rPr>
          <w:sz w:val="19"/>
          <w:szCs w:val="19"/>
        </w:rPr>
        <w:t xml:space="preserve">Rebalance marketing spend toward higher-converting sources.</w:t>
      </w:r>
    </w:p>
    <w:p>
      <w:pPr>
        <w:pStyle w:val="ListParagraph"/>
        <w:numPr>
          <w:ilvl w:val="0"/>
          <w:numId w:val="1"/>
        </w:numPr>
        <w:spacing w:after="60" w:line="255"/>
      </w:pPr>
      <w:r>
        <w:rPr>
          <w:sz w:val="19"/>
          <w:szCs w:val="19"/>
        </w:rPr>
        <w:t xml:space="preserve">Standardize status entry (fixed dropdown) to prevent future case-sensitivity bugs.</w:t>
      </w:r>
    </w:p>
    <w:p>
      <w:pPr>
        <w:pStyle w:val="Heading1"/>
        <w:pBdr>
          <w:bottom w:val="single" w:color="2E6B5E" w:sz="6" w:space="3"/>
        </w:pBdr>
        <w:spacing w:after="90" w:before="160"/>
      </w:pPr>
      <w:r>
        <w:rPr>
          <w:b/>
          <w:bCs/>
          <w:color w:val="1F4E45"/>
          <w:sz w:val="24"/>
          <w:szCs w:val="24"/>
        </w:rPr>
        <w:t xml:space="preserve">Bottom Line</w:t>
      </w:r>
    </w:p>
    <w:p>
      <w:pPr>
        <w:spacing w:after="100" w:line="260"/>
      </w:pPr>
      <w:r>
        <w:rPr>
          <w:sz w:val="19"/>
          <w:szCs w:val="19"/>
        </w:rPr>
        <w:t xml:space="preserve">A tuned Gradient Boosting model reaches 72% accuracy with the best generalization of six models tested — a solid, deployable starting point for prioritizing leads, not a finished, fully automated system.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2026-09-03T10:49:57.386Z</dcterms:created>
  <dcterms:modified xsi:type="dcterms:W3CDTF">2026-09-03T10:49:57.386Z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