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26"/>
          <w:szCs w:val="26"/>
        </w:rPr>
      </w:pPr>
      <w:bookmarkStart w:colFirst="0" w:colLast="0" w:name="_aunt6w84uzcg" w:id="0"/>
      <w:bookmarkEnd w:id="0"/>
      <w:r w:rsidDel="00000000" w:rsidR="00000000" w:rsidRPr="00000000">
        <w:rPr>
          <w:rFonts w:ascii="Georgia" w:cs="Georgia" w:eastAsia="Georgia" w:hAnsi="Georgia"/>
          <w:color w:val="000000"/>
          <w:sz w:val="26"/>
          <w:szCs w:val="26"/>
          <w:rtl w:val="0"/>
        </w:rPr>
        <w:t xml:space="preserve">Name: Sameeksha Prasanna Kumar</w:t>
        <w:br w:type="textWrapping"/>
        <w:t xml:space="preserve">SRN: PES1UG24CS410</w:t>
        <w:br w:type="textWrapping"/>
        <w:t xml:space="preserve">Section: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Lab 1 — Requirements Table</w:t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Problem Statement #41 — OpenAPI Mock Server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Target actors: API Developer, QA Engineer, CI/CD Pipeline</w:t>
      </w:r>
      <w:r w:rsidDel="00000000" w:rsidR="00000000" w:rsidRPr="00000000">
        <w:rPr>
          <w:rtl w:val="0"/>
        </w:rPr>
      </w:r>
    </w:p>
    <w:tbl>
      <w:tblPr>
        <w:tblStyle w:val="Table1"/>
        <w:tblW w:w="14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00"/>
        <w:gridCol w:w="3800"/>
        <w:gridCol w:w="1000"/>
        <w:gridCol w:w="3800"/>
        <w:gridCol w:w="2900"/>
        <w:tblGridChange w:id="0">
          <w:tblGrid>
            <w:gridCol w:w="900"/>
            <w:gridCol w:w="1600"/>
            <w:gridCol w:w="3800"/>
            <w:gridCol w:w="1000"/>
            <w:gridCol w:w="3800"/>
            <w:gridCol w:w="2900"/>
          </w:tblGrid>
        </w:tblGridChange>
      </w:tblGrid>
      <w:tr>
        <w:trPr>
          <w:cantSplit w:val="0"/>
          <w:tblHeader w:val="1"/>
        </w:trPr>
        <w:tc>
          <w:tcPr>
            <w:shd w:fill="2b6cb0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6cb0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6cb0" w:val="clear"/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6cb0" w:val="clear"/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6cb0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6cb0" w:val="clear"/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The system shall parse OpenAPI 3.0 schema definitions and generate dynamic HTTP mock endpoints returning randomized schema-compliant JSON payloads.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Pass: mock endpoint responds with correct JSON schema types. Fail: an invalid endpoint path returns 200 OK.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Core capability — the tool's entire value rests on generating usable mocks from a real spec.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The system shall allow an API Developer to upload an OpenAPI YAML or JSON spec file through a web UI or CLI command.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Pass: uploading a syntactically valid .yaml/.json file returns a success confirmation listing the number of endpoints generated. Fail: an invalid file format is rejected with a descriptive error message.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Upload is the entry point of the workflow; without it no mock server can be created.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FR-003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The system shall validate every incoming mock request against the uploaded OpenAPI schema and return HTTP 422 for requests that violate the schema.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Pass: a request with a missing required field or wrong data type returns HTTP 422 with a structured list of validation errors. Fail: an invalid payload is accepted and returns HTTP 200.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Guarantees the mock behaves like a contract-accurate stand-in for the real API, not just a static stub.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FR-004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The system shall allow a QA Engineer to configure a simulated response latency, in milliseconds, for any individual mock endpoint.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Pass: after setting latency to 500 ms, ten consecutive test requests measure response time within 490-510 ms. Fail: measured latency deviates from the configured value by more than 10 ms, or the setting is ignored.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Enables realistic performance and timeout testing without needing the real backend.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FR-005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The system shall display a request log listing every mock request received, including timestamp, matched endpoint, HTTP method, and response status code.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Pass: after sending 10 requests, the log view shows exactly 10 entries with correct timestamps and statuses in the order received. Fail: any request is missing from the log or shows incorrect metadata.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Gives developers and QA visibility into test traffic for debugging without external tooling.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NFR-001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Nonfunctional (Performance &amp; Security)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The mock server engine must sustain 1,000 mock API requests per second with user-configured simulated latency accurate within ± 10 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Pass: benchmarking tests confirm the target throughput and latency accuracy under simulated peak load. Fail: throughput drops below 1,000 req/s or latency error exceeds ±10 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The tool is only useful for load and integration testing if it can keep pace with real client traffic.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NFR-002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Nonfunctional (Security)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The system shall encrypt all stored OpenAPI specification files and request/response logs at rest using AES-256.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Pass: inspecting the storage volume directly shows spec files and logs as unreadable ciphertext without the decryption key. Fail: any file is readable as plaintext on disk.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i w:val="0"/>
                <w:iCs w:val="0"/>
                <w:sz w:val="19"/>
                <w:szCs w:val="19"/>
                <w:rtl w:val="0"/>
              </w:rPr>
              <w:t xml:space="preserve">Uploaded specs and captured request logs may contain proprietary API design or sensitive sample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00" w:top="700" w:left="700" w:right="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