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160"/>
      </w:pPr>
      <w:r>
        <w:rPr>
          <w:b/>
          <w:color w:val="2563EB"/>
          <w:sz w:val="22"/>
        </w:rPr>
        <w:t>ENTERPRISE CAPSTONE PROJECT REPORT</w:t>
        <w:br/>
      </w:r>
      <w:r>
        <w:rPr>
          <w:b/>
          <w:color w:val="0F172A"/>
          <w:sz w:val="52"/>
        </w:rPr>
        <w:t>Customer Churn Risk &amp; Retention Intelligence System</w:t>
      </w:r>
    </w:p>
    <w:p>
      <w:pPr>
        <w:spacing w:after="2800"/>
      </w:pPr>
      <w:r>
        <w:rPr>
          <w:i/>
          <w:color w:val="475569"/>
          <w:sz w:val="26"/>
        </w:rPr>
        <w:t>A Leakage-Safe Machine Learning &amp; Prescriptive Retention Analytics Framework for E-Commerce</w:t>
      </w:r>
    </w:p>
    <w:p>
      <w:pPr>
        <w:spacing w:before="800" w:line="312" w:lineRule="auto"/>
      </w:pPr>
      <w:r>
        <w:rPr>
          <w:b/>
        </w:rPr>
        <w:t xml:space="preserve">Author: </w:t>
      </w:r>
      <w:r>
        <w:t>Data Science &amp; AI Intelligence Team</w:t>
        <w:br/>
      </w:r>
      <w:r>
        <w:rPr>
          <w:b/>
        </w:rPr>
        <w:t xml:space="preserve">Dataset: </w:t>
      </w:r>
      <w:r>
        <w:t>UCI Online Retail Transaction Records (data.csv)</w:t>
        <w:br/>
      </w:r>
      <w:r>
        <w:rPr>
          <w:b/>
        </w:rPr>
        <w:t xml:space="preserve">Methodology: </w:t>
      </w:r>
      <w:r>
        <w:t>Leakage-Safe Temporal Snapshot RFM Modeling &amp; Logistic Regression</w:t>
        <w:br/>
      </w:r>
      <w:r>
        <w:rPr>
          <w:b/>
        </w:rPr>
        <w:t xml:space="preserve">Publication Date: </w:t>
      </w:r>
      <w:r>
        <w:t>September 21, 2026</w:t>
        <w:br/>
      </w:r>
      <w:r>
        <w:rPr>
          <w:b/>
        </w:rPr>
        <w:t xml:space="preserve">Status: </w:t>
      </w:r>
      <w:r>
        <w:t>Production Capstone Deliverable</w:t>
        <w:br/>
      </w:r>
    </w:p>
    <w:p>
      <w:r>
        <w:br w:type="page"/>
      </w:r>
    </w:p>
    <w:p>
      <w:pPr>
        <w:pStyle w:val="Heading1"/>
        <w:spacing w:before="360" w:after="120"/>
      </w:pPr>
      <w:r>
        <w:rPr>
          <w:b/>
          <w:color w:val="0F172A"/>
          <w:sz w:val="34"/>
        </w:rPr>
        <w:t>1. Executive Summary</w:t>
      </w:r>
    </w:p>
    <w:p>
      <w:r>
        <w:t>Modern e-commerce enterprises face immense customer acquisition costs, making retention the decisive driver of long-term unit economics and customer lifetime value (LTV). The Customer Churn Risk &amp; Retention Intelligence System transforms 541,909 raw invoice-level e-commerce transactions into a predictive early-warning framework and an actionable prescriptive portal.</w:t>
      </w:r>
    </w:p>
    <w:p>
      <w:r>
        <w:t>By establishing a leakage-safe temporal snapshot date of September 10, 2011 with a 90-day forward observation window (through December 09, 2011), the system models an active cohort of 3,370 unique customers. The baseline observed churn rate in this cohort is 43.0%. A balanced Logistic Regression classifier was engineered, prioritizing statistical Recall (75.4%) with a ROC-AUC of 0.732. The framework categorizes customers into three distinct risk tiers: High Risk (&gt;= 70%), Medium Risk (40% to &lt; 70%), and Low Risk (&lt; 40%), mapping each segment to specific CRM intervention playbooks.</w:t>
      </w:r>
    </w:p>
    <w:tbl>
      <w:tblPr>
        <w:tblW w:type="auto" w:w="0"/>
        <w:jc w:val="center"/>
        <w:tblLook w:firstColumn="1" w:firstRow="1" w:lastColumn="0" w:lastRow="0" w:noHBand="0" w:noVBand="1" w:val="04A0"/>
      </w:tblPr>
      <w:tblGrid>
        <w:gridCol w:w="2340"/>
        <w:gridCol w:w="2340"/>
        <w:gridCol w:w="2340"/>
        <w:gridCol w:w="2340"/>
      </w:tblGrid>
      <w:tr>
        <w:tc>
          <w:tcPr>
            <w:tcW w:type="dxa" w:w="2340"/>
            <w:shd w:fill="1E293B"/>
            <w:tcMar>
              <w:top w:w="120" w:type="dxa"/>
              <w:bottom w:w="120" w:type="dxa"/>
              <w:left w:w="150" w:type="dxa"/>
              <w:right w:w="150" w:type="dxa"/>
            </w:tcMar>
          </w:tcPr>
          <w:p>
            <w:r>
              <w:rPr>
                <w:b/>
                <w:color w:val="FFFFFF"/>
                <w:sz w:val="18"/>
              </w:rPr>
              <w:t>Total Cohort</w:t>
            </w:r>
          </w:p>
        </w:tc>
        <w:tc>
          <w:tcPr>
            <w:tcW w:type="dxa" w:w="2340"/>
            <w:shd w:fill="1E293B"/>
            <w:tcMar>
              <w:top w:w="120" w:type="dxa"/>
              <w:bottom w:w="120" w:type="dxa"/>
              <w:left w:w="150" w:type="dxa"/>
              <w:right w:w="150" w:type="dxa"/>
            </w:tcMar>
          </w:tcPr>
          <w:p>
            <w:r>
              <w:rPr>
                <w:b/>
                <w:color w:val="FFFFFF"/>
                <w:sz w:val="18"/>
              </w:rPr>
              <w:t>Observed Churn</w:t>
            </w:r>
          </w:p>
        </w:tc>
        <w:tc>
          <w:tcPr>
            <w:tcW w:type="dxa" w:w="2340"/>
            <w:shd w:fill="1E293B"/>
            <w:tcMar>
              <w:top w:w="120" w:type="dxa"/>
              <w:bottom w:w="120" w:type="dxa"/>
              <w:left w:w="150" w:type="dxa"/>
              <w:right w:w="150" w:type="dxa"/>
            </w:tcMar>
          </w:tcPr>
          <w:p>
            <w:r>
              <w:rPr>
                <w:b/>
                <w:color w:val="FFFFFF"/>
                <w:sz w:val="18"/>
              </w:rPr>
              <w:t>Model Recall</w:t>
            </w:r>
          </w:p>
        </w:tc>
        <w:tc>
          <w:tcPr>
            <w:tcW w:type="dxa" w:w="2340"/>
            <w:shd w:fill="1E293B"/>
            <w:tcMar>
              <w:top w:w="120" w:type="dxa"/>
              <w:bottom w:w="120" w:type="dxa"/>
              <w:left w:w="150" w:type="dxa"/>
              <w:right w:w="150" w:type="dxa"/>
            </w:tcMar>
          </w:tcPr>
          <w:p>
            <w:r>
              <w:rPr>
                <w:b/>
                <w:color w:val="FFFFFF"/>
                <w:sz w:val="18"/>
              </w:rPr>
              <w:t>Model ROC-AUC</w:t>
            </w:r>
          </w:p>
        </w:tc>
      </w:tr>
      <w:tr>
        <w:tc>
          <w:tcPr>
            <w:tcW w:type="dxa" w:w="2340"/>
            <w:shd w:fill="F8FAFC"/>
            <w:tcMar>
              <w:top w:w="120" w:type="dxa"/>
              <w:bottom w:w="120" w:type="dxa"/>
              <w:left w:w="150" w:type="dxa"/>
              <w:right w:w="150" w:type="dxa"/>
            </w:tcMar>
          </w:tcPr>
          <w:p>
            <w:r>
              <w:rPr>
                <w:b/>
                <w:color w:val="2563EB"/>
                <w:sz w:val="24"/>
              </w:rPr>
              <w:t>3,370</w:t>
            </w:r>
          </w:p>
        </w:tc>
        <w:tc>
          <w:tcPr>
            <w:tcW w:type="dxa" w:w="2340"/>
            <w:shd w:fill="F8FAFC"/>
            <w:tcMar>
              <w:top w:w="120" w:type="dxa"/>
              <w:bottom w:w="120" w:type="dxa"/>
              <w:left w:w="150" w:type="dxa"/>
              <w:right w:w="150" w:type="dxa"/>
            </w:tcMar>
          </w:tcPr>
          <w:p>
            <w:r>
              <w:rPr>
                <w:b/>
                <w:color w:val="2563EB"/>
                <w:sz w:val="24"/>
              </w:rPr>
              <w:t>43.0%</w:t>
            </w:r>
          </w:p>
        </w:tc>
        <w:tc>
          <w:tcPr>
            <w:tcW w:type="dxa" w:w="2340"/>
            <w:shd w:fill="F8FAFC"/>
            <w:tcMar>
              <w:top w:w="120" w:type="dxa"/>
              <w:bottom w:w="120" w:type="dxa"/>
              <w:left w:w="150" w:type="dxa"/>
              <w:right w:w="150" w:type="dxa"/>
            </w:tcMar>
          </w:tcPr>
          <w:p>
            <w:r>
              <w:rPr>
                <w:b/>
                <w:color w:val="2563EB"/>
                <w:sz w:val="24"/>
              </w:rPr>
              <w:t>75.4%</w:t>
            </w:r>
          </w:p>
        </w:tc>
        <w:tc>
          <w:tcPr>
            <w:tcW w:type="dxa" w:w="2340"/>
            <w:shd w:fill="F8FAFC"/>
            <w:tcMar>
              <w:top w:w="120" w:type="dxa"/>
              <w:bottom w:w="120" w:type="dxa"/>
              <w:left w:w="150" w:type="dxa"/>
              <w:right w:w="150" w:type="dxa"/>
            </w:tcMar>
          </w:tcPr>
          <w:p>
            <w:r>
              <w:rPr>
                <w:b/>
                <w:color w:val="2563EB"/>
                <w:sz w:val="24"/>
              </w:rPr>
              <w:t>0.732</w:t>
            </w:r>
          </w:p>
        </w:tc>
      </w:tr>
    </w:tbl>
    <w:p>
      <w:pPr>
        <w:pStyle w:val="Heading1"/>
        <w:spacing w:before="360" w:after="120"/>
      </w:pPr>
      <w:r>
        <w:rPr>
          <w:b/>
          <w:color w:val="0F172A"/>
          <w:sz w:val="34"/>
        </w:rPr>
        <w:t>2. Problem Statement &amp; Business Value</w:t>
      </w:r>
    </w:p>
    <w:p>
      <w:r>
        <w:t>In non-contractual e-commerce settings, customer churn occurs silently. Unlike subscription services where cancellations are explicitly signaled, retail customers simply stop placing orders. Without predictive analytics, marketing managers discover churn months after it occurs—when win-back efforts are least effective and most expensive.</w:t>
      </w:r>
    </w:p>
    <w:p>
      <w:r>
        <w:t>The business value of this system is three-fold:</w:t>
        <w:br/>
        <w:t>1. Proactive Risk Mitigation: Identifies customer decay at the earliest stage of dormancy.</w:t>
        <w:br/>
        <w:t>2. Margin-Optimized CRM: Replaces blanket, margin-diluting discount codes with tiered, high-precision interventions.</w:t>
        <w:br/>
        <w:t>3. Explainable Machine Learning: Provides transparent behavioral root causes rather than opaque black-box scores.</w:t>
      </w:r>
    </w:p>
    <w:p>
      <w:pPr>
        <w:pStyle w:val="Heading1"/>
        <w:spacing w:before="360" w:after="120"/>
      </w:pPr>
      <w:r>
        <w:rPr>
          <w:b/>
          <w:color w:val="0F172A"/>
          <w:sz w:val="34"/>
        </w:rPr>
        <w:t>3. Dataset Overview &amp; Preprocessing</w:t>
      </w:r>
    </w:p>
    <w:p>
      <w:r>
        <w:t>The underlying dataset comprises all transactions occurring between December 01, 2010 and December 09, 2011 for a UK-based, registered online retail company selling unique all-occasion gifts. The raw dataset presents typical real-world transactional complexities including cancellations, missing customer identifiers, non-positive unit costs, and administrative line items.</w:t>
      </w:r>
    </w:p>
    <w:p>
      <w:r>
        <w:t>Rigorous data-cleaning pipelines were implemented to ensure analytical validity:</w:t>
        <w:br/>
        <w:t>• Missing CustomerID: 135,080 rows lacked customer attribution and were excluded.</w:t>
        <w:br/>
        <w:t>• Cancellations: Invoices prefixed with 'C' (9,288 rows) were filtered out.</w:t>
        <w:br/>
        <w:t>• Quality &amp; Price Sanity: Records with Quantity &lt;= 0 or UnitPrice &lt;= 0 were purged.</w:t>
        <w:br/>
        <w:t>• Revenue Calculation: Computed as Quantity * UnitPrice for every verified order row.</w:t>
        <w:br/>
        <w:t>• Deduplication: Redundant duplicate transaction records were dropped.</w:t>
      </w:r>
    </w:p>
    <w:tbl>
      <w:tblPr>
        <w:tblW w:type="auto" w:w="0"/>
        <w:jc w:val="center"/>
        <w:tblLook w:firstColumn="1" w:firstRow="1" w:lastColumn="0" w:lastRow="0" w:noHBand="0" w:noVBand="1" w:val="04A0"/>
      </w:tblPr>
      <w:tblGrid>
        <w:gridCol w:w="3120"/>
        <w:gridCol w:w="3120"/>
        <w:gridCol w:w="3120"/>
      </w:tblGrid>
      <w:tr>
        <w:tc>
          <w:tcPr>
            <w:tcW w:type="dxa" w:w="3120"/>
            <w:shd w:fill="1E293B"/>
            <w:tcMar>
              <w:top w:w="100" w:type="dxa"/>
              <w:bottom w:w="100" w:type="dxa"/>
              <w:left w:w="150" w:type="dxa"/>
              <w:right w:w="150" w:type="dxa"/>
            </w:tcMar>
          </w:tcPr>
          <w:p>
            <w:r>
              <w:rPr>
                <w:b/>
                <w:color w:val="FFFFFF"/>
              </w:rPr>
              <w:t>Audit Metric</w:t>
            </w:r>
          </w:p>
        </w:tc>
        <w:tc>
          <w:tcPr>
            <w:tcW w:type="dxa" w:w="3120"/>
            <w:shd w:fill="1E293B"/>
            <w:tcMar>
              <w:top w:w="100" w:type="dxa"/>
              <w:bottom w:w="100" w:type="dxa"/>
              <w:left w:w="150" w:type="dxa"/>
              <w:right w:w="150" w:type="dxa"/>
            </w:tcMar>
          </w:tcPr>
          <w:p>
            <w:r>
              <w:rPr>
                <w:b/>
                <w:color w:val="FFFFFF"/>
              </w:rPr>
              <w:t>Value</w:t>
            </w:r>
          </w:p>
        </w:tc>
        <w:tc>
          <w:tcPr>
            <w:tcW w:type="dxa" w:w="3120"/>
            <w:shd w:fill="1E293B"/>
            <w:tcMar>
              <w:top w:w="100" w:type="dxa"/>
              <w:bottom w:w="100" w:type="dxa"/>
              <w:left w:w="150" w:type="dxa"/>
              <w:right w:w="150" w:type="dxa"/>
            </w:tcMar>
          </w:tcPr>
          <w:p>
            <w:r>
              <w:rPr>
                <w:b/>
                <w:color w:val="FFFFFF"/>
              </w:rPr>
              <w:t>Operational Description</w:t>
            </w:r>
          </w:p>
        </w:tc>
      </w:tr>
      <w:tr>
        <w:tc>
          <w:tcPr>
            <w:tcW w:type="dxa" w:w="3120"/>
            <w:tcMar>
              <w:top w:w="80" w:type="dxa"/>
              <w:bottom w:w="80" w:type="dxa"/>
              <w:left w:w="120" w:type="dxa"/>
              <w:right w:w="120" w:type="dxa"/>
            </w:tcMar>
          </w:tcPr>
          <w:p>
            <w:r>
              <w:rPr>
                <w:b/>
              </w:rPr>
              <w:t>Original Transaction Records</w:t>
            </w:r>
          </w:p>
        </w:tc>
        <w:tc>
          <w:tcPr>
            <w:tcW w:type="dxa" w:w="3120"/>
            <w:tcMar>
              <w:top w:w="80" w:type="dxa"/>
              <w:bottom w:w="80" w:type="dxa"/>
              <w:left w:w="120" w:type="dxa"/>
              <w:right w:w="120" w:type="dxa"/>
            </w:tcMar>
          </w:tcPr>
          <w:p>
            <w:r>
              <w:t>541,909</w:t>
            </w:r>
          </w:p>
        </w:tc>
        <w:tc>
          <w:tcPr>
            <w:tcW w:type="dxa" w:w="3120"/>
            <w:tcMar>
              <w:top w:w="80" w:type="dxa"/>
              <w:bottom w:w="80" w:type="dxa"/>
              <w:left w:w="120" w:type="dxa"/>
              <w:right w:w="120" w:type="dxa"/>
            </w:tcMar>
          </w:tcPr>
          <w:p>
            <w:r>
              <w:t>Unfiltered source rows in data.csv</w:t>
            </w:r>
          </w:p>
        </w:tc>
      </w:tr>
      <w:tr>
        <w:tc>
          <w:tcPr>
            <w:tcW w:type="dxa" w:w="3120"/>
            <w:tcMar>
              <w:top w:w="80" w:type="dxa"/>
              <w:bottom w:w="80" w:type="dxa"/>
              <w:left w:w="120" w:type="dxa"/>
              <w:right w:w="120" w:type="dxa"/>
            </w:tcMar>
          </w:tcPr>
          <w:p>
            <w:r>
              <w:rPr>
                <w:b/>
              </w:rPr>
              <w:t>Cleaned Transaction Records</w:t>
            </w:r>
          </w:p>
        </w:tc>
        <w:tc>
          <w:tcPr>
            <w:tcW w:type="dxa" w:w="3120"/>
            <w:tcMar>
              <w:top w:w="80" w:type="dxa"/>
              <w:bottom w:w="80" w:type="dxa"/>
              <w:left w:w="120" w:type="dxa"/>
              <w:right w:w="120" w:type="dxa"/>
            </w:tcMar>
          </w:tcPr>
          <w:p>
            <w:r>
              <w:t>392,692</w:t>
            </w:r>
          </w:p>
        </w:tc>
        <w:tc>
          <w:tcPr>
            <w:tcW w:type="dxa" w:w="3120"/>
            <w:tcMar>
              <w:top w:w="80" w:type="dxa"/>
              <w:bottom w:w="80" w:type="dxa"/>
              <w:left w:w="120" w:type="dxa"/>
              <w:right w:w="120" w:type="dxa"/>
            </w:tcMar>
          </w:tcPr>
          <w:p>
            <w:r>
              <w:t>Verified valid completed orders</w:t>
            </w:r>
          </w:p>
        </w:tc>
      </w:tr>
      <w:tr>
        <w:tc>
          <w:tcPr>
            <w:tcW w:type="dxa" w:w="3120"/>
            <w:tcMar>
              <w:top w:w="80" w:type="dxa"/>
              <w:bottom w:w="80" w:type="dxa"/>
              <w:left w:w="120" w:type="dxa"/>
              <w:right w:w="120" w:type="dxa"/>
            </w:tcMar>
          </w:tcPr>
          <w:p>
            <w:r>
              <w:rPr>
                <w:b/>
              </w:rPr>
              <w:t>Excluded Records</w:t>
            </w:r>
          </w:p>
        </w:tc>
        <w:tc>
          <w:tcPr>
            <w:tcW w:type="dxa" w:w="3120"/>
            <w:tcMar>
              <w:top w:w="80" w:type="dxa"/>
              <w:bottom w:w="80" w:type="dxa"/>
              <w:left w:w="120" w:type="dxa"/>
              <w:right w:w="120" w:type="dxa"/>
            </w:tcMar>
          </w:tcPr>
          <w:p>
            <w:r>
              <w:t>149,217 (27.5%)</w:t>
            </w:r>
          </w:p>
        </w:tc>
        <w:tc>
          <w:tcPr>
            <w:tcW w:type="dxa" w:w="3120"/>
            <w:tcMar>
              <w:top w:w="80" w:type="dxa"/>
              <w:bottom w:w="80" w:type="dxa"/>
              <w:left w:w="120" w:type="dxa"/>
              <w:right w:w="120" w:type="dxa"/>
            </w:tcMar>
          </w:tcPr>
          <w:p>
            <w:r>
              <w:t>Null IDs, cancellations, negative quantities</w:t>
            </w:r>
          </w:p>
        </w:tc>
      </w:tr>
      <w:tr>
        <w:tc>
          <w:tcPr>
            <w:tcW w:type="dxa" w:w="3120"/>
            <w:tcMar>
              <w:top w:w="80" w:type="dxa"/>
              <w:bottom w:w="80" w:type="dxa"/>
              <w:left w:w="120" w:type="dxa"/>
              <w:right w:w="120" w:type="dxa"/>
            </w:tcMar>
          </w:tcPr>
          <w:p>
            <w:r>
              <w:rPr>
                <w:b/>
              </w:rPr>
              <w:t>Verified Date Span</w:t>
            </w:r>
          </w:p>
        </w:tc>
        <w:tc>
          <w:tcPr>
            <w:tcW w:type="dxa" w:w="3120"/>
            <w:tcMar>
              <w:top w:w="80" w:type="dxa"/>
              <w:bottom w:w="80" w:type="dxa"/>
              <w:left w:w="120" w:type="dxa"/>
              <w:right w:w="120" w:type="dxa"/>
            </w:tcMar>
          </w:tcPr>
          <w:p>
            <w:r>
              <w:t>2010-12-01 to 2011-12-09</w:t>
            </w:r>
          </w:p>
        </w:tc>
        <w:tc>
          <w:tcPr>
            <w:tcW w:type="dxa" w:w="3120"/>
            <w:tcMar>
              <w:top w:w="80" w:type="dxa"/>
              <w:bottom w:w="80" w:type="dxa"/>
              <w:left w:w="120" w:type="dxa"/>
              <w:right w:w="120" w:type="dxa"/>
            </w:tcMar>
          </w:tcPr>
          <w:p>
            <w:r>
              <w:t>374 calendar days of transactional activity</w:t>
            </w:r>
          </w:p>
        </w:tc>
      </w:tr>
      <w:tr>
        <w:tc>
          <w:tcPr>
            <w:tcW w:type="dxa" w:w="3120"/>
            <w:tcMar>
              <w:top w:w="80" w:type="dxa"/>
              <w:bottom w:w="80" w:type="dxa"/>
              <w:left w:w="120" w:type="dxa"/>
              <w:right w:w="120" w:type="dxa"/>
            </w:tcMar>
          </w:tcPr>
          <w:p>
            <w:r>
              <w:rPr>
                <w:b/>
              </w:rPr>
              <w:t>Total Verified Gross Revenue</w:t>
            </w:r>
          </w:p>
        </w:tc>
        <w:tc>
          <w:tcPr>
            <w:tcW w:type="dxa" w:w="3120"/>
            <w:tcMar>
              <w:top w:w="80" w:type="dxa"/>
              <w:bottom w:w="80" w:type="dxa"/>
              <w:left w:w="120" w:type="dxa"/>
              <w:right w:w="120" w:type="dxa"/>
            </w:tcMar>
          </w:tcPr>
          <w:p>
            <w:r>
              <w:t>$8,887,208.89</w:t>
            </w:r>
          </w:p>
        </w:tc>
        <w:tc>
          <w:tcPr>
            <w:tcW w:type="dxa" w:w="3120"/>
            <w:tcMar>
              <w:top w:w="80" w:type="dxa"/>
              <w:bottom w:w="80" w:type="dxa"/>
              <w:left w:w="120" w:type="dxa"/>
              <w:right w:w="120" w:type="dxa"/>
            </w:tcMar>
          </w:tcPr>
          <w:p>
            <w:r>
              <w:t>Net sum of completed purchases</w:t>
            </w:r>
          </w:p>
        </w:tc>
      </w:tr>
      <w:tr>
        <w:tc>
          <w:tcPr>
            <w:tcW w:type="dxa" w:w="3120"/>
            <w:tcMar>
              <w:top w:w="80" w:type="dxa"/>
              <w:bottom w:w="80" w:type="dxa"/>
              <w:left w:w="120" w:type="dxa"/>
              <w:right w:w="120" w:type="dxa"/>
            </w:tcMar>
          </w:tcPr>
          <w:p>
            <w:r>
              <w:rPr>
                <w:b/>
              </w:rPr>
              <w:t>Unique Verified Customers</w:t>
            </w:r>
          </w:p>
        </w:tc>
        <w:tc>
          <w:tcPr>
            <w:tcW w:type="dxa" w:w="3120"/>
            <w:tcMar>
              <w:top w:w="80" w:type="dxa"/>
              <w:bottom w:w="80" w:type="dxa"/>
              <w:left w:w="120" w:type="dxa"/>
              <w:right w:w="120" w:type="dxa"/>
            </w:tcMar>
          </w:tcPr>
          <w:p>
            <w:r>
              <w:t>4,338</w:t>
            </w:r>
          </w:p>
        </w:tc>
        <w:tc>
          <w:tcPr>
            <w:tcW w:type="dxa" w:w="3120"/>
            <w:tcMar>
              <w:top w:w="80" w:type="dxa"/>
              <w:bottom w:w="80" w:type="dxa"/>
              <w:left w:w="120" w:type="dxa"/>
              <w:right w:w="120" w:type="dxa"/>
            </w:tcMar>
          </w:tcPr>
          <w:p>
            <w:r>
              <w:t>Individual customer identifiers</w:t>
            </w:r>
          </w:p>
        </w:tc>
      </w:tr>
      <w:tr>
        <w:tc>
          <w:tcPr>
            <w:tcW w:type="dxa" w:w="3120"/>
            <w:tcMar>
              <w:top w:w="80" w:type="dxa"/>
              <w:bottom w:w="80" w:type="dxa"/>
              <w:left w:w="120" w:type="dxa"/>
              <w:right w:w="120" w:type="dxa"/>
            </w:tcMar>
          </w:tcPr>
          <w:p>
            <w:r>
              <w:rPr>
                <w:b/>
              </w:rPr>
              <w:t>Unique Completed Invoices</w:t>
            </w:r>
          </w:p>
        </w:tc>
        <w:tc>
          <w:tcPr>
            <w:tcW w:type="dxa" w:w="3120"/>
            <w:tcMar>
              <w:top w:w="80" w:type="dxa"/>
              <w:bottom w:w="80" w:type="dxa"/>
              <w:left w:w="120" w:type="dxa"/>
              <w:right w:w="120" w:type="dxa"/>
            </w:tcMar>
          </w:tcPr>
          <w:p>
            <w:r>
              <w:t>18,532</w:t>
            </w:r>
          </w:p>
        </w:tc>
        <w:tc>
          <w:tcPr>
            <w:tcW w:type="dxa" w:w="3120"/>
            <w:tcMar>
              <w:top w:w="80" w:type="dxa"/>
              <w:bottom w:w="80" w:type="dxa"/>
              <w:left w:w="120" w:type="dxa"/>
              <w:right w:w="120" w:type="dxa"/>
            </w:tcMar>
          </w:tcPr>
          <w:p>
            <w:r>
              <w:t>Distinct commercial transactions</w:t>
            </w:r>
          </w:p>
        </w:tc>
      </w:tr>
    </w:tbl>
    <w:p>
      <w:pPr>
        <w:pStyle w:val="Heading1"/>
        <w:spacing w:before="360" w:after="120"/>
      </w:pPr>
      <w:r>
        <w:rPr>
          <w:b/>
          <w:color w:val="0F172A"/>
          <w:sz w:val="34"/>
        </w:rPr>
        <w:t>4. Leakage-Safe Time Split &amp; Feature Engineering</w:t>
      </w:r>
    </w:p>
    <w:p>
      <w:r>
        <w:t>A frequent pitfall in churn modeling is target leakage, which occurs when features incorporate information from the future churn observation period. To prevent leakage, a strict temporal cutoff was enforced:</w:t>
      </w:r>
    </w:p>
    <w:p>
      <w:r>
        <w:t>1. Maximum Dataset Date: 2011-12-09 12:50</w:t>
        <w:br/>
        <w:t>2. Temporal Snapshot Date: 2011-09-10 12:50 (90 days prior to dataset conclusion).</w:t>
        <w:br/>
        <w:t>3. Historical Feature Window: All transactions prior to 2011-09-10. All RFM and customer-level attributes are calculated exclusively from this window.</w:t>
        <w:br/>
        <w:t>4. Future Churn Observation Window: The final 90 days of data. A customer is defined as Retained (Churn = 0) if they completed at least one order during this window, and Churned (Churn = 1) if they placed zero orders.</w:t>
      </w:r>
    </w:p>
    <w:p>
      <w:r>
        <w:t>The following customer-level features were engineered:</w:t>
        <w:br/>
        <w:t>• Recency: Calendar days elapsed between the customer's most recent order and the snapshot date.</w:t>
        <w:br/>
        <w:t>• Frequency: Total number of unique completed invoices in the historical period.</w:t>
        <w:br/>
        <w:t>• Monetary: Total gross revenue contributed by the customer prior to the snapshot date.</w:t>
        <w:br/>
        <w:t>• Average Order Value (AOV): Monetary spend divided by frequency.</w:t>
        <w:br/>
        <w:t>• Average Items per Order: Total units purchased divided by order frequency.</w:t>
        <w:br/>
        <w:t>• Customer Tenure: Calendar days elapsed between the customer's first purchase and snapshot date.</w:t>
        <w:br/>
        <w:t>• Geographic Categorization: Primary shopping country grouped into high-volume markets.</w:t>
      </w:r>
    </w:p>
    <w:p>
      <w:pPr>
        <w:pStyle w:val="Heading1"/>
        <w:spacing w:before="360" w:after="120"/>
      </w:pPr>
      <w:r>
        <w:rPr>
          <w:b/>
          <w:color w:val="0F172A"/>
          <w:sz w:val="34"/>
        </w:rPr>
        <w:t>5. Machine Learning Model Development &amp; Evaluation</w:t>
      </w:r>
    </w:p>
    <w:p>
      <w:r>
        <w:t>To ensure managerial interpretability and rapid scoring, a penalized Logistic Regression classifier was implemented using Scikit-Learn. Preprocessing was performed using a ColumnTransformer pipeline comprising StandardScaler for continuous numerical features and OneHotEncoder for categorical geography.</w:t>
      </w:r>
    </w:p>
    <w:p>
      <w:r>
        <w:t>Model Formulation &amp; Recall Prioritization:</w:t>
        <w:br/>
        <w:t>In customer retention, False Negatives (predicting a churning customer is safe) are far more costly than False Positives (sending an outreach offer to a retained customer). Consequently, the model was parameterized with class_weight='balanced' to elevate the penalty on missed churners, maximizing statistical Recall.</w:t>
      </w:r>
    </w:p>
    <w:tbl>
      <w:tblPr>
        <w:tblW w:type="auto" w:w="0"/>
        <w:jc w:val="center"/>
        <w:tblLook w:firstColumn="1" w:firstRow="1" w:lastColumn="0" w:lastRow="0" w:noHBand="0" w:noVBand="1" w:val="04A0"/>
      </w:tblPr>
      <w:tblGrid>
        <w:gridCol w:w="3120"/>
        <w:gridCol w:w="3120"/>
        <w:gridCol w:w="3120"/>
      </w:tblGrid>
      <w:tr>
        <w:tc>
          <w:tcPr>
            <w:tcW w:type="dxa" w:w="3120"/>
            <w:shd w:fill="1E293B"/>
            <w:tcMar>
              <w:top w:w="100" w:type="dxa"/>
              <w:bottom w:w="100" w:type="dxa"/>
              <w:left w:w="150" w:type="dxa"/>
              <w:right w:w="150" w:type="dxa"/>
            </w:tcMar>
          </w:tcPr>
          <w:p>
            <w:r>
              <w:rPr>
                <w:b/>
                <w:color w:val="FFFFFF"/>
              </w:rPr>
              <w:t>Performance Metric</w:t>
            </w:r>
          </w:p>
        </w:tc>
        <w:tc>
          <w:tcPr>
            <w:tcW w:type="dxa" w:w="3120"/>
            <w:shd w:fill="1E293B"/>
            <w:tcMar>
              <w:top w:w="100" w:type="dxa"/>
              <w:bottom w:w="100" w:type="dxa"/>
              <w:left w:w="150" w:type="dxa"/>
              <w:right w:w="150" w:type="dxa"/>
            </w:tcMar>
          </w:tcPr>
          <w:p>
            <w:r>
              <w:rPr>
                <w:b/>
                <w:color w:val="FFFFFF"/>
              </w:rPr>
              <w:t>Observed Score</w:t>
            </w:r>
          </w:p>
        </w:tc>
        <w:tc>
          <w:tcPr>
            <w:tcW w:type="dxa" w:w="3120"/>
            <w:shd w:fill="1E293B"/>
            <w:tcMar>
              <w:top w:w="100" w:type="dxa"/>
              <w:bottom w:w="100" w:type="dxa"/>
              <w:left w:w="150" w:type="dxa"/>
              <w:right w:w="150" w:type="dxa"/>
            </w:tcMar>
          </w:tcPr>
          <w:p>
            <w:r>
              <w:rPr>
                <w:b/>
                <w:color w:val="FFFFFF"/>
              </w:rPr>
              <w:t>Managerial Interpretation</w:t>
            </w:r>
          </w:p>
        </w:tc>
      </w:tr>
      <w:tr>
        <w:tc>
          <w:tcPr>
            <w:tcW w:type="dxa" w:w="3120"/>
            <w:tcMar>
              <w:top w:w="80" w:type="dxa"/>
              <w:bottom w:w="80" w:type="dxa"/>
              <w:left w:w="120" w:type="dxa"/>
              <w:right w:w="120" w:type="dxa"/>
            </w:tcMar>
          </w:tcPr>
          <w:p>
            <w:r>
              <w:rPr>
                <w:b/>
              </w:rPr>
              <w:t>Recall (Primary Metric)</w:t>
            </w:r>
          </w:p>
        </w:tc>
        <w:tc>
          <w:tcPr>
            <w:tcW w:type="dxa" w:w="3120"/>
            <w:tcMar>
              <w:top w:w="80" w:type="dxa"/>
              <w:bottom w:w="80" w:type="dxa"/>
              <w:left w:w="120" w:type="dxa"/>
              <w:right w:w="120" w:type="dxa"/>
            </w:tcMar>
          </w:tcPr>
          <w:p>
            <w:r>
              <w:t>75.41%</w:t>
            </w:r>
          </w:p>
        </w:tc>
        <w:tc>
          <w:tcPr>
            <w:tcW w:type="dxa" w:w="3120"/>
            <w:tcMar>
              <w:top w:w="80" w:type="dxa"/>
              <w:bottom w:w="80" w:type="dxa"/>
              <w:left w:w="120" w:type="dxa"/>
              <w:right w:w="120" w:type="dxa"/>
            </w:tcMar>
          </w:tcPr>
          <w:p>
            <w:r>
              <w:t>Successfully detects ~75% of all churning accounts</w:t>
            </w:r>
          </w:p>
        </w:tc>
      </w:tr>
      <w:tr>
        <w:tc>
          <w:tcPr>
            <w:tcW w:type="dxa" w:w="3120"/>
            <w:tcMar>
              <w:top w:w="80" w:type="dxa"/>
              <w:bottom w:w="80" w:type="dxa"/>
              <w:left w:w="120" w:type="dxa"/>
              <w:right w:w="120" w:type="dxa"/>
            </w:tcMar>
          </w:tcPr>
          <w:p>
            <w:r>
              <w:rPr>
                <w:b/>
              </w:rPr>
              <w:t>ROC-AUC Score</w:t>
            </w:r>
          </w:p>
        </w:tc>
        <w:tc>
          <w:tcPr>
            <w:tcW w:type="dxa" w:w="3120"/>
            <w:tcMar>
              <w:top w:w="80" w:type="dxa"/>
              <w:bottom w:w="80" w:type="dxa"/>
              <w:left w:w="120" w:type="dxa"/>
              <w:right w:w="120" w:type="dxa"/>
            </w:tcMar>
          </w:tcPr>
          <w:p>
            <w:r>
              <w:t>0.7320</w:t>
            </w:r>
          </w:p>
        </w:tc>
        <w:tc>
          <w:tcPr>
            <w:tcW w:type="dxa" w:w="3120"/>
            <w:tcMar>
              <w:top w:w="80" w:type="dxa"/>
              <w:bottom w:w="80" w:type="dxa"/>
              <w:left w:w="120" w:type="dxa"/>
              <w:right w:w="120" w:type="dxa"/>
            </w:tcMar>
          </w:tcPr>
          <w:p>
            <w:r>
              <w:t>Strong discriminative separation between churners and retainees</w:t>
            </w:r>
          </w:p>
        </w:tc>
      </w:tr>
      <w:tr>
        <w:tc>
          <w:tcPr>
            <w:tcW w:type="dxa" w:w="3120"/>
            <w:tcMar>
              <w:top w:w="80" w:type="dxa"/>
              <w:bottom w:w="80" w:type="dxa"/>
              <w:left w:w="120" w:type="dxa"/>
              <w:right w:w="120" w:type="dxa"/>
            </w:tcMar>
          </w:tcPr>
          <w:p>
            <w:r>
              <w:rPr>
                <w:b/>
              </w:rPr>
              <w:t>Overall Accuracy</w:t>
            </w:r>
          </w:p>
        </w:tc>
        <w:tc>
          <w:tcPr>
            <w:tcW w:type="dxa" w:w="3120"/>
            <w:tcMar>
              <w:top w:w="80" w:type="dxa"/>
              <w:bottom w:w="80" w:type="dxa"/>
              <w:left w:w="120" w:type="dxa"/>
              <w:right w:w="120" w:type="dxa"/>
            </w:tcMar>
          </w:tcPr>
          <w:p>
            <w:r>
              <w:t>65.72%</w:t>
            </w:r>
          </w:p>
        </w:tc>
        <w:tc>
          <w:tcPr>
            <w:tcW w:type="dxa" w:w="3120"/>
            <w:tcMar>
              <w:top w:w="80" w:type="dxa"/>
              <w:bottom w:w="80" w:type="dxa"/>
              <w:left w:w="120" w:type="dxa"/>
              <w:right w:w="120" w:type="dxa"/>
            </w:tcMar>
          </w:tcPr>
          <w:p>
            <w:r>
              <w:t>Balanced cross-class classification rate</w:t>
            </w:r>
          </w:p>
        </w:tc>
      </w:tr>
      <w:tr>
        <w:tc>
          <w:tcPr>
            <w:tcW w:type="dxa" w:w="3120"/>
            <w:tcMar>
              <w:top w:w="80" w:type="dxa"/>
              <w:bottom w:w="80" w:type="dxa"/>
              <w:left w:w="120" w:type="dxa"/>
              <w:right w:w="120" w:type="dxa"/>
            </w:tcMar>
          </w:tcPr>
          <w:p>
            <w:r>
              <w:rPr>
                <w:b/>
              </w:rPr>
              <w:t>Precision</w:t>
            </w:r>
          </w:p>
        </w:tc>
        <w:tc>
          <w:tcPr>
            <w:tcW w:type="dxa" w:w="3120"/>
            <w:tcMar>
              <w:top w:w="80" w:type="dxa"/>
              <w:bottom w:w="80" w:type="dxa"/>
              <w:left w:w="120" w:type="dxa"/>
              <w:right w:w="120" w:type="dxa"/>
            </w:tcMar>
          </w:tcPr>
          <w:p>
            <w:r>
              <w:t>57.72%</w:t>
            </w:r>
          </w:p>
        </w:tc>
        <w:tc>
          <w:tcPr>
            <w:tcW w:type="dxa" w:w="3120"/>
            <w:tcMar>
              <w:top w:w="80" w:type="dxa"/>
              <w:bottom w:w="80" w:type="dxa"/>
              <w:left w:w="120" w:type="dxa"/>
              <w:right w:w="120" w:type="dxa"/>
            </w:tcMar>
          </w:tcPr>
          <w:p>
            <w:r>
              <w:t>Positive predictive value on flagged churn cohort</w:t>
            </w:r>
          </w:p>
        </w:tc>
      </w:tr>
      <w:tr>
        <w:tc>
          <w:tcPr>
            <w:tcW w:type="dxa" w:w="3120"/>
            <w:tcMar>
              <w:top w:w="80" w:type="dxa"/>
              <w:bottom w:w="80" w:type="dxa"/>
              <w:left w:w="120" w:type="dxa"/>
              <w:right w:w="120" w:type="dxa"/>
            </w:tcMar>
          </w:tcPr>
          <w:p>
            <w:r>
              <w:rPr>
                <w:b/>
              </w:rPr>
              <w:t>F1-Score</w:t>
            </w:r>
          </w:p>
        </w:tc>
        <w:tc>
          <w:tcPr>
            <w:tcW w:type="dxa" w:w="3120"/>
            <w:tcMar>
              <w:top w:w="80" w:type="dxa"/>
              <w:bottom w:w="80" w:type="dxa"/>
              <w:left w:w="120" w:type="dxa"/>
              <w:right w:w="120" w:type="dxa"/>
            </w:tcMar>
          </w:tcPr>
          <w:p>
            <w:r>
              <w:t>0.6539</w:t>
            </w:r>
          </w:p>
        </w:tc>
        <w:tc>
          <w:tcPr>
            <w:tcW w:type="dxa" w:w="3120"/>
            <w:tcMar>
              <w:top w:w="80" w:type="dxa"/>
              <w:bottom w:w="80" w:type="dxa"/>
              <w:left w:w="120" w:type="dxa"/>
              <w:right w:w="120" w:type="dxa"/>
            </w:tcMar>
          </w:tcPr>
          <w:p>
            <w:r>
              <w:t>Harmonic mean of precision and recall</w:t>
            </w:r>
          </w:p>
        </w:tc>
      </w:tr>
      <w:tr>
        <w:tc>
          <w:tcPr>
            <w:tcW w:type="dxa" w:w="3120"/>
            <w:tcMar>
              <w:top w:w="80" w:type="dxa"/>
              <w:bottom w:w="80" w:type="dxa"/>
              <w:left w:w="120" w:type="dxa"/>
              <w:right w:w="120" w:type="dxa"/>
            </w:tcMar>
          </w:tcPr>
          <w:p>
            <w:r>
              <w:rPr>
                <w:b/>
              </w:rPr>
              <w:t>Training Sample Size</w:t>
            </w:r>
          </w:p>
        </w:tc>
        <w:tc>
          <w:tcPr>
            <w:tcW w:type="dxa" w:w="3120"/>
            <w:tcMar>
              <w:top w:w="80" w:type="dxa"/>
              <w:bottom w:w="80" w:type="dxa"/>
              <w:left w:w="120" w:type="dxa"/>
              <w:right w:w="120" w:type="dxa"/>
            </w:tcMar>
          </w:tcPr>
          <w:p>
            <w:r>
              <w:t>2,527</w:t>
            </w:r>
          </w:p>
        </w:tc>
        <w:tc>
          <w:tcPr>
            <w:tcW w:type="dxa" w:w="3120"/>
            <w:tcMar>
              <w:top w:w="80" w:type="dxa"/>
              <w:bottom w:w="80" w:type="dxa"/>
              <w:left w:w="120" w:type="dxa"/>
              <w:right w:w="120" w:type="dxa"/>
            </w:tcMar>
          </w:tcPr>
          <w:p>
            <w:r>
              <w:t>75% stratified training partition</w:t>
            </w:r>
          </w:p>
        </w:tc>
      </w:tr>
      <w:tr>
        <w:tc>
          <w:tcPr>
            <w:tcW w:type="dxa" w:w="3120"/>
            <w:tcMar>
              <w:top w:w="80" w:type="dxa"/>
              <w:bottom w:w="80" w:type="dxa"/>
              <w:left w:w="120" w:type="dxa"/>
              <w:right w:w="120" w:type="dxa"/>
            </w:tcMar>
          </w:tcPr>
          <w:p>
            <w:r>
              <w:rPr>
                <w:b/>
              </w:rPr>
              <w:t>Test Sample Size</w:t>
            </w:r>
          </w:p>
        </w:tc>
        <w:tc>
          <w:tcPr>
            <w:tcW w:type="dxa" w:w="3120"/>
            <w:tcMar>
              <w:top w:w="80" w:type="dxa"/>
              <w:bottom w:w="80" w:type="dxa"/>
              <w:left w:w="120" w:type="dxa"/>
              <w:right w:w="120" w:type="dxa"/>
            </w:tcMar>
          </w:tcPr>
          <w:p>
            <w:r>
              <w:t>843</w:t>
            </w:r>
          </w:p>
        </w:tc>
        <w:tc>
          <w:tcPr>
            <w:tcW w:type="dxa" w:w="3120"/>
            <w:tcMar>
              <w:top w:w="80" w:type="dxa"/>
              <w:bottom w:w="80" w:type="dxa"/>
              <w:left w:w="120" w:type="dxa"/>
              <w:right w:w="120" w:type="dxa"/>
            </w:tcMar>
          </w:tcPr>
          <w:p>
            <w:r>
              <w:t>25% stratified holdout validation partition</w:t>
            </w:r>
          </w:p>
        </w:tc>
      </w:tr>
    </w:tbl>
    <w:p/>
    <w:p>
      <w:r>
        <w:t>Confusion Matrix Analysis (Holdout Test Set of 843 customers):</w:t>
        <w:br/>
        <w:t>• True Negatives (Correctly predicted active): 281</w:t>
        <w:br/>
        <w:t>• False Positives (Active customers flagged at risk): 200</w:t>
        <w:br/>
        <w:t>• False Negatives (Churned customers missed): 89</w:t>
        <w:br/>
        <w:t>• True Positives (Correctly intercepted churners): 273</w:t>
      </w:r>
    </w:p>
    <w:p>
      <w:pPr>
        <w:pStyle w:val="Heading2"/>
        <w:spacing w:before="360" w:after="120"/>
      </w:pPr>
      <w:r>
        <w:rPr>
          <w:b/>
          <w:color w:val="2563EB"/>
          <w:sz w:val="26"/>
        </w:rPr>
        <w:t>Feature Coefficients &amp; Behavioral Drivers</w:t>
      </w:r>
    </w:p>
    <w:p>
      <w:r>
        <w:t>Logistic regression coefficients provide direct mathematical insights into churn drivers via odds ratios (e^beta):</w:t>
      </w:r>
    </w:p>
    <w:tbl>
      <w:tblPr>
        <w:tblW w:type="auto" w:w="0"/>
        <w:jc w:val="center"/>
        <w:tblLook w:firstColumn="1" w:firstRow="1" w:lastColumn="0" w:lastRow="0" w:noHBand="0" w:noVBand="1" w:val="04A0"/>
      </w:tblPr>
      <w:tblGrid>
        <w:gridCol w:w="2340"/>
        <w:gridCol w:w="2340"/>
        <w:gridCol w:w="2340"/>
        <w:gridCol w:w="2340"/>
      </w:tblGrid>
      <w:tr>
        <w:tc>
          <w:tcPr>
            <w:tcW w:type="dxa" w:w="2340"/>
            <w:shd w:fill="1E293B"/>
            <w:tcMar>
              <w:top w:w="100" w:type="dxa"/>
              <w:bottom w:w="100" w:type="dxa"/>
              <w:left w:w="150" w:type="dxa"/>
              <w:right w:w="150" w:type="dxa"/>
            </w:tcMar>
          </w:tcPr>
          <w:p>
            <w:r>
              <w:rPr>
                <w:b/>
                <w:color w:val="FFFFFF"/>
              </w:rPr>
              <w:t>Feature</w:t>
            </w:r>
          </w:p>
        </w:tc>
        <w:tc>
          <w:tcPr>
            <w:tcW w:type="dxa" w:w="2340"/>
            <w:shd w:fill="1E293B"/>
            <w:tcMar>
              <w:top w:w="100" w:type="dxa"/>
              <w:bottom w:w="100" w:type="dxa"/>
              <w:left w:w="150" w:type="dxa"/>
              <w:right w:w="150" w:type="dxa"/>
            </w:tcMar>
          </w:tcPr>
          <w:p>
            <w:r>
              <w:rPr>
                <w:b/>
                <w:color w:val="FFFFFF"/>
              </w:rPr>
              <w:t>Coefficient</w:t>
            </w:r>
          </w:p>
        </w:tc>
        <w:tc>
          <w:tcPr>
            <w:tcW w:type="dxa" w:w="2340"/>
            <w:shd w:fill="1E293B"/>
            <w:tcMar>
              <w:top w:w="100" w:type="dxa"/>
              <w:bottom w:w="100" w:type="dxa"/>
              <w:left w:w="150" w:type="dxa"/>
              <w:right w:w="150" w:type="dxa"/>
            </w:tcMar>
          </w:tcPr>
          <w:p>
            <w:r>
              <w:rPr>
                <w:b/>
                <w:color w:val="FFFFFF"/>
              </w:rPr>
              <w:t>Odds Ratio</w:t>
            </w:r>
          </w:p>
        </w:tc>
        <w:tc>
          <w:tcPr>
            <w:tcW w:type="dxa" w:w="2340"/>
            <w:shd w:fill="1E293B"/>
            <w:tcMar>
              <w:top w:w="100" w:type="dxa"/>
              <w:bottom w:w="100" w:type="dxa"/>
              <w:left w:w="150" w:type="dxa"/>
              <w:right w:w="150" w:type="dxa"/>
            </w:tcMar>
          </w:tcPr>
          <w:p>
            <w:r>
              <w:rPr>
                <w:b/>
                <w:color w:val="FFFFFF"/>
              </w:rPr>
              <w:t>Directional Impact</w:t>
            </w:r>
          </w:p>
        </w:tc>
      </w:tr>
      <w:tr>
        <w:tc>
          <w:tcPr>
            <w:tcW w:type="dxa" w:w="2340"/>
            <w:tcMar>
              <w:top w:w="80" w:type="dxa"/>
              <w:bottom w:w="80" w:type="dxa"/>
              <w:left w:w="120" w:type="dxa"/>
              <w:right w:w="120" w:type="dxa"/>
            </w:tcMar>
          </w:tcPr>
          <w:p>
            <w:r>
              <w:rPr>
                <w:b/>
              </w:rPr>
              <w:t>Recency</w:t>
            </w:r>
          </w:p>
        </w:tc>
        <w:tc>
          <w:tcPr>
            <w:tcW w:type="dxa" w:w="2340"/>
            <w:tcMar>
              <w:top w:w="80" w:type="dxa"/>
              <w:bottom w:w="80" w:type="dxa"/>
              <w:left w:w="120" w:type="dxa"/>
              <w:right w:w="120" w:type="dxa"/>
            </w:tcMar>
          </w:tcPr>
          <w:p>
            <w:r>
              <w:t>0.4478</w:t>
            </w:r>
          </w:p>
        </w:tc>
        <w:tc>
          <w:tcPr>
            <w:tcW w:type="dxa" w:w="2340"/>
            <w:tcMar>
              <w:top w:w="80" w:type="dxa"/>
              <w:bottom w:w="80" w:type="dxa"/>
              <w:left w:w="120" w:type="dxa"/>
              <w:right w:w="120" w:type="dxa"/>
            </w:tcMar>
          </w:tcPr>
          <w:p>
            <w:r>
              <w:t>1.5649</w:t>
            </w:r>
          </w:p>
        </w:tc>
        <w:tc>
          <w:tcPr>
            <w:tcW w:type="dxa" w:w="2340"/>
            <w:tcMar>
              <w:top w:w="80" w:type="dxa"/>
              <w:bottom w:w="80" w:type="dxa"/>
              <w:left w:w="120" w:type="dxa"/>
              <w:right w:w="120" w:type="dxa"/>
            </w:tcMar>
          </w:tcPr>
          <w:p>
            <w:r>
              <w:t>Increases Churn Risk</w:t>
            </w:r>
          </w:p>
        </w:tc>
      </w:tr>
      <w:tr>
        <w:tc>
          <w:tcPr>
            <w:tcW w:type="dxa" w:w="2340"/>
            <w:tcMar>
              <w:top w:w="80" w:type="dxa"/>
              <w:bottom w:w="80" w:type="dxa"/>
              <w:left w:w="120" w:type="dxa"/>
              <w:right w:w="120" w:type="dxa"/>
            </w:tcMar>
          </w:tcPr>
          <w:p>
            <w:r>
              <w:rPr>
                <w:b/>
              </w:rPr>
              <w:t>CountryGroup_Other</w:t>
            </w:r>
          </w:p>
        </w:tc>
        <w:tc>
          <w:tcPr>
            <w:tcW w:type="dxa" w:w="2340"/>
            <w:tcMar>
              <w:top w:w="80" w:type="dxa"/>
              <w:bottom w:w="80" w:type="dxa"/>
              <w:left w:w="120" w:type="dxa"/>
              <w:right w:w="120" w:type="dxa"/>
            </w:tcMar>
          </w:tcPr>
          <w:p>
            <w:r>
              <w:t>0.1715</w:t>
            </w:r>
          </w:p>
        </w:tc>
        <w:tc>
          <w:tcPr>
            <w:tcW w:type="dxa" w:w="2340"/>
            <w:tcMar>
              <w:top w:w="80" w:type="dxa"/>
              <w:bottom w:w="80" w:type="dxa"/>
              <w:left w:w="120" w:type="dxa"/>
              <w:right w:w="120" w:type="dxa"/>
            </w:tcMar>
          </w:tcPr>
          <w:p>
            <w:r>
              <w:t>1.1871</w:t>
            </w:r>
          </w:p>
        </w:tc>
        <w:tc>
          <w:tcPr>
            <w:tcW w:type="dxa" w:w="2340"/>
            <w:tcMar>
              <w:top w:w="80" w:type="dxa"/>
              <w:bottom w:w="80" w:type="dxa"/>
              <w:left w:w="120" w:type="dxa"/>
              <w:right w:w="120" w:type="dxa"/>
            </w:tcMar>
          </w:tcPr>
          <w:p>
            <w:r>
              <w:t>Increases Churn Risk</w:t>
            </w:r>
          </w:p>
        </w:tc>
      </w:tr>
      <w:tr>
        <w:tc>
          <w:tcPr>
            <w:tcW w:type="dxa" w:w="2340"/>
            <w:tcMar>
              <w:top w:w="80" w:type="dxa"/>
              <w:bottom w:w="80" w:type="dxa"/>
              <w:left w:w="120" w:type="dxa"/>
              <w:right w:w="120" w:type="dxa"/>
            </w:tcMar>
          </w:tcPr>
          <w:p>
            <w:r>
              <w:rPr>
                <w:b/>
              </w:rPr>
              <w:t>AOV</w:t>
            </w:r>
          </w:p>
        </w:tc>
        <w:tc>
          <w:tcPr>
            <w:tcW w:type="dxa" w:w="2340"/>
            <w:tcMar>
              <w:top w:w="80" w:type="dxa"/>
              <w:bottom w:w="80" w:type="dxa"/>
              <w:left w:w="120" w:type="dxa"/>
              <w:right w:w="120" w:type="dxa"/>
            </w:tcMar>
          </w:tcPr>
          <w:p>
            <w:r>
              <w:t>0.1314</w:t>
            </w:r>
          </w:p>
        </w:tc>
        <w:tc>
          <w:tcPr>
            <w:tcW w:type="dxa" w:w="2340"/>
            <w:tcMar>
              <w:top w:w="80" w:type="dxa"/>
              <w:bottom w:w="80" w:type="dxa"/>
              <w:left w:w="120" w:type="dxa"/>
              <w:right w:w="120" w:type="dxa"/>
            </w:tcMar>
          </w:tcPr>
          <w:p>
            <w:r>
              <w:t>1.1405</w:t>
            </w:r>
          </w:p>
        </w:tc>
        <w:tc>
          <w:tcPr>
            <w:tcW w:type="dxa" w:w="2340"/>
            <w:tcMar>
              <w:top w:w="80" w:type="dxa"/>
              <w:bottom w:w="80" w:type="dxa"/>
              <w:left w:w="120" w:type="dxa"/>
              <w:right w:w="120" w:type="dxa"/>
            </w:tcMar>
          </w:tcPr>
          <w:p>
            <w:r>
              <w:t>Increases Churn Risk</w:t>
            </w:r>
          </w:p>
        </w:tc>
      </w:tr>
      <w:tr>
        <w:tc>
          <w:tcPr>
            <w:tcW w:type="dxa" w:w="2340"/>
            <w:tcMar>
              <w:top w:w="80" w:type="dxa"/>
              <w:bottom w:w="80" w:type="dxa"/>
              <w:left w:w="120" w:type="dxa"/>
              <w:right w:w="120" w:type="dxa"/>
            </w:tcMar>
          </w:tcPr>
          <w:p>
            <w:r>
              <w:rPr>
                <w:b/>
              </w:rPr>
              <w:t>CountryGroup_Spain</w:t>
            </w:r>
          </w:p>
        </w:tc>
        <w:tc>
          <w:tcPr>
            <w:tcW w:type="dxa" w:w="2340"/>
            <w:tcMar>
              <w:top w:w="80" w:type="dxa"/>
              <w:bottom w:w="80" w:type="dxa"/>
              <w:left w:w="120" w:type="dxa"/>
              <w:right w:w="120" w:type="dxa"/>
            </w:tcMar>
          </w:tcPr>
          <w:p>
            <w:r>
              <w:t>-0.0364</w:t>
            </w:r>
          </w:p>
        </w:tc>
        <w:tc>
          <w:tcPr>
            <w:tcW w:type="dxa" w:w="2340"/>
            <w:tcMar>
              <w:top w:w="80" w:type="dxa"/>
              <w:bottom w:w="80" w:type="dxa"/>
              <w:left w:w="120" w:type="dxa"/>
              <w:right w:w="120" w:type="dxa"/>
            </w:tcMar>
          </w:tcPr>
          <w:p>
            <w:r>
              <w:t>0.9642</w:t>
            </w:r>
          </w:p>
        </w:tc>
        <w:tc>
          <w:tcPr>
            <w:tcW w:type="dxa" w:w="2340"/>
            <w:tcMar>
              <w:top w:w="80" w:type="dxa"/>
              <w:bottom w:w="80" w:type="dxa"/>
              <w:left w:w="120" w:type="dxa"/>
              <w:right w:w="120" w:type="dxa"/>
            </w:tcMar>
          </w:tcPr>
          <w:p>
            <w:r>
              <w:t>Decreases Churn Risk (Protective)</w:t>
            </w:r>
          </w:p>
        </w:tc>
      </w:tr>
      <w:tr>
        <w:tc>
          <w:tcPr>
            <w:tcW w:type="dxa" w:w="2340"/>
            <w:tcMar>
              <w:top w:w="80" w:type="dxa"/>
              <w:bottom w:w="80" w:type="dxa"/>
              <w:left w:w="120" w:type="dxa"/>
              <w:right w:w="120" w:type="dxa"/>
            </w:tcMar>
          </w:tcPr>
          <w:p>
            <w:r>
              <w:rPr>
                <w:b/>
              </w:rPr>
              <w:t>CountryGroup_United Kingdom</w:t>
            </w:r>
          </w:p>
        </w:tc>
        <w:tc>
          <w:tcPr>
            <w:tcW w:type="dxa" w:w="2340"/>
            <w:tcMar>
              <w:top w:w="80" w:type="dxa"/>
              <w:bottom w:w="80" w:type="dxa"/>
              <w:left w:w="120" w:type="dxa"/>
              <w:right w:w="120" w:type="dxa"/>
            </w:tcMar>
          </w:tcPr>
          <w:p>
            <w:r>
              <w:t>-0.0492</w:t>
            </w:r>
          </w:p>
        </w:tc>
        <w:tc>
          <w:tcPr>
            <w:tcW w:type="dxa" w:w="2340"/>
            <w:tcMar>
              <w:top w:w="80" w:type="dxa"/>
              <w:bottom w:w="80" w:type="dxa"/>
              <w:left w:w="120" w:type="dxa"/>
              <w:right w:w="120" w:type="dxa"/>
            </w:tcMar>
          </w:tcPr>
          <w:p>
            <w:r>
              <w:t>0.9520</w:t>
            </w:r>
          </w:p>
        </w:tc>
        <w:tc>
          <w:tcPr>
            <w:tcW w:type="dxa" w:w="2340"/>
            <w:tcMar>
              <w:top w:w="80" w:type="dxa"/>
              <w:bottom w:w="80" w:type="dxa"/>
              <w:left w:w="120" w:type="dxa"/>
              <w:right w:w="120" w:type="dxa"/>
            </w:tcMar>
          </w:tcPr>
          <w:p>
            <w:r>
              <w:t>Decreases Churn Risk (Protective)</w:t>
            </w:r>
          </w:p>
        </w:tc>
      </w:tr>
      <w:tr>
        <w:tc>
          <w:tcPr>
            <w:tcW w:type="dxa" w:w="2340"/>
            <w:tcMar>
              <w:top w:w="80" w:type="dxa"/>
              <w:bottom w:w="80" w:type="dxa"/>
              <w:left w:w="120" w:type="dxa"/>
              <w:right w:w="120" w:type="dxa"/>
            </w:tcMar>
          </w:tcPr>
          <w:p>
            <w:r>
              <w:rPr>
                <w:b/>
              </w:rPr>
              <w:t>AvgItemsPerOrder</w:t>
            </w:r>
          </w:p>
        </w:tc>
        <w:tc>
          <w:tcPr>
            <w:tcW w:type="dxa" w:w="2340"/>
            <w:tcMar>
              <w:top w:w="80" w:type="dxa"/>
              <w:bottom w:w="80" w:type="dxa"/>
              <w:left w:w="120" w:type="dxa"/>
              <w:right w:w="120" w:type="dxa"/>
            </w:tcMar>
          </w:tcPr>
          <w:p>
            <w:r>
              <w:t>-0.1153</w:t>
            </w:r>
          </w:p>
        </w:tc>
        <w:tc>
          <w:tcPr>
            <w:tcW w:type="dxa" w:w="2340"/>
            <w:tcMar>
              <w:top w:w="80" w:type="dxa"/>
              <w:bottom w:w="80" w:type="dxa"/>
              <w:left w:w="120" w:type="dxa"/>
              <w:right w:w="120" w:type="dxa"/>
            </w:tcMar>
          </w:tcPr>
          <w:p>
            <w:r>
              <w:t>0.8911</w:t>
            </w:r>
          </w:p>
        </w:tc>
        <w:tc>
          <w:tcPr>
            <w:tcW w:type="dxa" w:w="2340"/>
            <w:tcMar>
              <w:top w:w="80" w:type="dxa"/>
              <w:bottom w:w="80" w:type="dxa"/>
              <w:left w:w="120" w:type="dxa"/>
              <w:right w:w="120" w:type="dxa"/>
            </w:tcMar>
          </w:tcPr>
          <w:p>
            <w:r>
              <w:t>Decreases Churn Risk (Protective)</w:t>
            </w:r>
          </w:p>
        </w:tc>
      </w:tr>
    </w:tbl>
    <w:p>
      <w:pPr>
        <w:pStyle w:val="Heading1"/>
        <w:spacing w:before="360" w:after="120"/>
      </w:pPr>
      <w:r>
        <w:rPr>
          <w:b/>
          <w:color w:val="0F172A"/>
          <w:sz w:val="34"/>
        </w:rPr>
        <w:t>6. Dashboard User Experience &amp; Architecture</w:t>
      </w:r>
    </w:p>
    <w:p>
      <w:r>
        <w:t>The companion web application (app.py) was built using Streamlit and Plotly, following modern enterprise UI principles with responsive layout, custom CSS cards, and intuitive navigation across three pages:</w:t>
      </w:r>
    </w:p>
    <w:p>
      <w:r>
        <w:t>Page 1: Executive Overview</w:t>
        <w:br/>
        <w:t>• Six macro-level KPI cards displaying customer counts, gross revenues, order totals, and average order values.</w:t>
        <w:br/>
        <w:t>• Dynamic Plotly monthly revenue and order volume trajectory line and bar charts.</w:t>
        <w:br/>
        <w:t>• Geographic breakdown of top retail markets and customer portfolio donut charts.</w:t>
        <w:br/>
        <w:t>• Automated executive takeaways highlighting revenue at risk and high-leverage drivers.</w:t>
      </w:r>
    </w:p>
    <w:p>
      <w:r>
        <w:t>Page 2: Customer Risk Analytics</w:t>
        <w:br/>
        <w:t>• Fully interactive, sortable customer master table with default ranking by highest churn risk.</w:t>
        <w:br/>
        <w:t>• Dynamic multi-filtering by Country, Risk Tier, and individual CustomerID search.</w:t>
        <w:br/>
        <w:t>• Analytical probability distributions and RFM box-plot comparisons across risk tiers.</w:t>
        <w:br/>
        <w:t>• Customer 360 drill-down inspector providing instant access to account-level transaction history.</w:t>
        <w:br/>
        <w:t>• Direct CSV cohort export button for CRM workflow integration.</w:t>
      </w:r>
    </w:p>
    <w:p>
      <w:r>
        <w:t>Page 3: Prescriptive Action Portal</w:t>
        <w:br/>
        <w:t>• Focused operational cockpit for customer success and retention managers.</w:t>
        <w:br/>
        <w:t>• Individual customer diagnostic station identifying granular root causes for dormancy.</w:t>
        <w:br/>
        <w:t>• Multi-tier campaign planning matrix aligning offers and channels by tier.</w:t>
        <w:br/>
        <w:t>• Dynamic Revenue-at-Risk Simulator calculating projected gross recovery and net marketing ROI.</w:t>
      </w:r>
    </w:p>
    <w:p>
      <w:pPr>
        <w:pStyle w:val="Heading1"/>
        <w:spacing w:before="360" w:after="120"/>
      </w:pPr>
      <w:r>
        <w:rPr>
          <w:b/>
          <w:color w:val="0F172A"/>
          <w:sz w:val="34"/>
        </w:rPr>
        <w:t>7. Risk Segmentation &amp; Prescriptive Playbooks</w:t>
      </w:r>
    </w:p>
    <w:p>
      <w:r>
        <w:t>Customers are classified into three actionable tiers based on predicted churn probabilities:</w:t>
      </w:r>
    </w:p>
    <w:tbl>
      <w:tblPr>
        <w:tblW w:type="auto" w:w="0"/>
        <w:jc w:val="center"/>
        <w:tblLook w:firstColumn="1" w:firstRow="1" w:lastColumn="0" w:lastRow="0" w:noHBand="0" w:noVBand="1" w:val="04A0"/>
      </w:tblPr>
      <w:tblGrid>
        <w:gridCol w:w="2340"/>
        <w:gridCol w:w="2340"/>
        <w:gridCol w:w="2340"/>
        <w:gridCol w:w="2340"/>
      </w:tblGrid>
      <w:tr>
        <w:tc>
          <w:tcPr>
            <w:tcW w:type="dxa" w:w="2340"/>
            <w:shd w:fill="1E293B"/>
            <w:tcMar>
              <w:top w:w="100" w:type="dxa"/>
              <w:bottom w:w="100" w:type="dxa"/>
              <w:left w:w="150" w:type="dxa"/>
              <w:right w:w="150" w:type="dxa"/>
            </w:tcMar>
          </w:tcPr>
          <w:p>
            <w:r>
              <w:rPr>
                <w:b/>
                <w:color w:val="FFFFFF"/>
              </w:rPr>
              <w:t>Risk Tier</w:t>
            </w:r>
          </w:p>
        </w:tc>
        <w:tc>
          <w:tcPr>
            <w:tcW w:type="dxa" w:w="2340"/>
            <w:shd w:fill="1E293B"/>
            <w:tcMar>
              <w:top w:w="100" w:type="dxa"/>
              <w:bottom w:w="100" w:type="dxa"/>
              <w:left w:w="150" w:type="dxa"/>
              <w:right w:w="150" w:type="dxa"/>
            </w:tcMar>
          </w:tcPr>
          <w:p>
            <w:r>
              <w:rPr>
                <w:b/>
                <w:color w:val="FFFFFF"/>
              </w:rPr>
              <w:t>Probability Threshold</w:t>
            </w:r>
          </w:p>
        </w:tc>
        <w:tc>
          <w:tcPr>
            <w:tcW w:type="dxa" w:w="2340"/>
            <w:shd w:fill="1E293B"/>
            <w:tcMar>
              <w:top w:w="100" w:type="dxa"/>
              <w:bottom w:w="100" w:type="dxa"/>
              <w:left w:w="150" w:type="dxa"/>
              <w:right w:w="150" w:type="dxa"/>
            </w:tcMar>
          </w:tcPr>
          <w:p>
            <w:r>
              <w:rPr>
                <w:b/>
                <w:color w:val="FFFFFF"/>
              </w:rPr>
              <w:t>Cohort Size</w:t>
            </w:r>
          </w:p>
        </w:tc>
        <w:tc>
          <w:tcPr>
            <w:tcW w:type="dxa" w:w="2340"/>
            <w:shd w:fill="1E293B"/>
            <w:tcMar>
              <w:top w:w="100" w:type="dxa"/>
              <w:bottom w:w="100" w:type="dxa"/>
              <w:left w:w="150" w:type="dxa"/>
              <w:right w:w="150" w:type="dxa"/>
            </w:tcMar>
          </w:tcPr>
          <w:p>
            <w:r>
              <w:rPr>
                <w:b/>
                <w:color w:val="FFFFFF"/>
              </w:rPr>
              <w:t>Strategic Retention Playbook</w:t>
            </w:r>
          </w:p>
        </w:tc>
      </w:tr>
      <w:tr>
        <w:tc>
          <w:tcPr>
            <w:tcW w:type="dxa" w:w="2340"/>
            <w:tcMar>
              <w:top w:w="80" w:type="dxa"/>
              <w:bottom w:w="80" w:type="dxa"/>
              <w:left w:w="120" w:type="dxa"/>
              <w:right w:w="120" w:type="dxa"/>
            </w:tcMar>
          </w:tcPr>
          <w:p>
            <w:r>
              <w:rPr>
                <w:b/>
              </w:rPr>
              <w:t>High Risk</w:t>
            </w:r>
          </w:p>
        </w:tc>
        <w:tc>
          <w:tcPr>
            <w:tcW w:type="dxa" w:w="2340"/>
            <w:tcMar>
              <w:top w:w="80" w:type="dxa"/>
              <w:bottom w:w="80" w:type="dxa"/>
              <w:left w:w="120" w:type="dxa"/>
              <w:right w:w="120" w:type="dxa"/>
            </w:tcMar>
          </w:tcPr>
          <w:p>
            <w:r>
              <w:t>&gt;= 70%</w:t>
            </w:r>
          </w:p>
        </w:tc>
        <w:tc>
          <w:tcPr>
            <w:tcW w:type="dxa" w:w="2340"/>
            <w:tcMar>
              <w:top w:w="80" w:type="dxa"/>
              <w:bottom w:w="80" w:type="dxa"/>
              <w:left w:w="120" w:type="dxa"/>
              <w:right w:w="120" w:type="dxa"/>
            </w:tcMar>
          </w:tcPr>
          <w:p>
            <w:r>
              <w:t>558 customers</w:t>
            </w:r>
          </w:p>
        </w:tc>
        <w:tc>
          <w:tcPr>
            <w:tcW w:type="dxa" w:w="2340"/>
            <w:tcMar>
              <w:top w:w="80" w:type="dxa"/>
              <w:bottom w:w="80" w:type="dxa"/>
              <w:left w:w="120" w:type="dxa"/>
              <w:right w:w="120" w:type="dxa"/>
            </w:tcMar>
          </w:tcPr>
          <w:p>
            <w:r>
              <w:t>Immediate win-back offer, VIP concierge outreach, 25% re-engagement voucher</w:t>
            </w:r>
          </w:p>
        </w:tc>
      </w:tr>
      <w:tr>
        <w:tc>
          <w:tcPr>
            <w:tcW w:type="dxa" w:w="2340"/>
            <w:tcMar>
              <w:top w:w="80" w:type="dxa"/>
              <w:bottom w:w="80" w:type="dxa"/>
              <w:left w:w="120" w:type="dxa"/>
              <w:right w:w="120" w:type="dxa"/>
            </w:tcMar>
          </w:tcPr>
          <w:p>
            <w:r>
              <w:rPr>
                <w:b/>
              </w:rPr>
              <w:t>Medium Risk</w:t>
            </w:r>
          </w:p>
        </w:tc>
        <w:tc>
          <w:tcPr>
            <w:tcW w:type="dxa" w:w="2340"/>
            <w:tcMar>
              <w:top w:w="80" w:type="dxa"/>
              <w:bottom w:w="80" w:type="dxa"/>
              <w:left w:w="120" w:type="dxa"/>
              <w:right w:w="120" w:type="dxa"/>
            </w:tcMar>
          </w:tcPr>
          <w:p>
            <w:r>
              <w:t>40% to &lt; 70%</w:t>
            </w:r>
          </w:p>
        </w:tc>
        <w:tc>
          <w:tcPr>
            <w:tcW w:type="dxa" w:w="2340"/>
            <w:tcMar>
              <w:top w:w="80" w:type="dxa"/>
              <w:bottom w:w="80" w:type="dxa"/>
              <w:left w:w="120" w:type="dxa"/>
              <w:right w:w="120" w:type="dxa"/>
            </w:tcMar>
          </w:tcPr>
          <w:p>
            <w:r>
              <w:t>1,756 customers</w:t>
            </w:r>
          </w:p>
        </w:tc>
        <w:tc>
          <w:tcPr>
            <w:tcW w:type="dxa" w:w="2340"/>
            <w:tcMar>
              <w:top w:w="80" w:type="dxa"/>
              <w:bottom w:w="80" w:type="dxa"/>
              <w:left w:w="120" w:type="dxa"/>
              <w:right w:w="120" w:type="dxa"/>
            </w:tcMar>
          </w:tcPr>
          <w:p>
            <w:r>
              <w:t>Product recommendation newsletter, 2x bonus loyalty points, automated email drip</w:t>
            </w:r>
          </w:p>
        </w:tc>
      </w:tr>
      <w:tr>
        <w:tc>
          <w:tcPr>
            <w:tcW w:type="dxa" w:w="2340"/>
            <w:tcMar>
              <w:top w:w="80" w:type="dxa"/>
              <w:bottom w:w="80" w:type="dxa"/>
              <w:left w:w="120" w:type="dxa"/>
              <w:right w:w="120" w:type="dxa"/>
            </w:tcMar>
          </w:tcPr>
          <w:p>
            <w:r>
              <w:rPr>
                <w:b/>
              </w:rPr>
              <w:t>Low Risk</w:t>
            </w:r>
          </w:p>
        </w:tc>
        <w:tc>
          <w:tcPr>
            <w:tcW w:type="dxa" w:w="2340"/>
            <w:tcMar>
              <w:top w:w="80" w:type="dxa"/>
              <w:bottom w:w="80" w:type="dxa"/>
              <w:left w:w="120" w:type="dxa"/>
              <w:right w:w="120" w:type="dxa"/>
            </w:tcMar>
          </w:tcPr>
          <w:p>
            <w:r>
              <w:t>&lt; 40%</w:t>
            </w:r>
          </w:p>
        </w:tc>
        <w:tc>
          <w:tcPr>
            <w:tcW w:type="dxa" w:w="2340"/>
            <w:tcMar>
              <w:top w:w="80" w:type="dxa"/>
              <w:bottom w:w="80" w:type="dxa"/>
              <w:left w:w="120" w:type="dxa"/>
              <w:right w:w="120" w:type="dxa"/>
            </w:tcMar>
          </w:tcPr>
          <w:p>
            <w:r>
              <w:t>1,056 customers</w:t>
            </w:r>
          </w:p>
        </w:tc>
        <w:tc>
          <w:tcPr>
            <w:tcW w:type="dxa" w:w="2340"/>
            <w:tcMar>
              <w:top w:w="80" w:type="dxa"/>
              <w:bottom w:w="80" w:type="dxa"/>
              <w:left w:w="120" w:type="dxa"/>
              <w:right w:w="120" w:type="dxa"/>
            </w:tcMar>
          </w:tcPr>
          <w:p>
            <w:r>
              <w:t>Standard retention nurture, cross-sell adjacent categories, loyalty tier promotions</w:t>
            </w:r>
          </w:p>
        </w:tc>
      </w:tr>
    </w:tbl>
    <w:p>
      <w:pPr>
        <w:pStyle w:val="Heading1"/>
        <w:spacing w:before="360" w:after="120"/>
      </w:pPr>
      <w:r>
        <w:rPr>
          <w:b/>
          <w:color w:val="0F172A"/>
          <w:sz w:val="34"/>
        </w:rPr>
        <w:t>8. Limitations &amp; Future Roadmap</w:t>
      </w:r>
    </w:p>
    <w:p>
      <w:r>
        <w:t>While highly effective and statistically validated, the system has operational limitations:</w:t>
        <w:br/>
        <w:t>• Non-Contractual Ambiguity: Some high-value wholesale buyers may operate on multi-month seasonal procurement cycles, leading to false-positive churn alerts.</w:t>
        <w:br/>
        <w:t>• Absence of Behavioral Web Telemetry: Incorporating clickstream data, abandoned carts, and email open metrics would improve precision.</w:t>
        <w:br/>
        <w:t>• Machine Learning Horizons: Transitioning to survival analysis (Cox Proportional Hazards) or gradient-boosted decision trees (XGBoost/LightGBM) will capture non-linear feature interactions.</w:t>
        <w:br/>
        <w:t>• Real-Time Event Streaming: Future iterations should compute recency dynamically via Apache Kafka / Flink rather than periodic batch snapshots.</w:t>
      </w:r>
    </w:p>
    <w:p>
      <w:pPr>
        <w:pStyle w:val="Heading1"/>
        <w:spacing w:before="360" w:after="120"/>
      </w:pPr>
      <w:r>
        <w:rPr>
          <w:b/>
          <w:color w:val="0F172A"/>
          <w:sz w:val="34"/>
        </w:rPr>
        <w:t>9. Conclusion</w:t>
      </w:r>
    </w:p>
    <w:p>
      <w:r>
        <w:t>The Customer Churn Risk &amp; Retention Intelligence System successfully bridges raw transactional data and strategic marketing decision-making. By adopting a leakage-safe temporal snapshot methodology, training a recall-prioritized machine learning classifier, and packaging findings into an intuitive three-page Streamlit portal, the system empowers e-commerce leaders to systematically defend revenue, cultivate customer loyalty, and maximize lifetime equity.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