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sz w:val="42"/>
          <w:szCs w:val="42"/>
          <w:u w:val="single"/>
        </w:rPr>
      </w:pPr>
      <w:bookmarkStart w:colFirst="0" w:colLast="0" w:name="_luqv007a5j79" w:id="0"/>
      <w:bookmarkEnd w:id="0"/>
      <w:r w:rsidDel="00000000" w:rsidR="00000000" w:rsidRPr="00000000">
        <w:rPr>
          <w:sz w:val="42"/>
          <w:szCs w:val="42"/>
          <w:u w:val="single"/>
          <w:rtl w:val="0"/>
        </w:rPr>
        <w:t xml:space="preserve">CS559 Group Project Summary - Group 2: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Contributors: Prutha Trivedi, Ryan Hu, Sameer Sethuram, Xiaotong Feng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oglnisvd0jkl" w:id="1"/>
      <w:bookmarkEnd w:id="1"/>
      <w:r w:rsidDel="00000000" w:rsidR="00000000" w:rsidRPr="00000000">
        <w:rPr>
          <w:rtl w:val="0"/>
        </w:rPr>
        <w:t xml:space="preserve">3.2 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bookmarkStart w:colFirst="0" w:colLast="0" w:name="_6yp3pp5geocg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Cluster Report: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Number of clusters/subgroups: 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Number of y = 0: 5,609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Number of y = 1: 198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19621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s9c6o658q22v" w:id="3"/>
      <w:bookmarkEnd w:id="3"/>
      <w:r w:rsidDel="00000000" w:rsidR="00000000" w:rsidRPr="00000000">
        <w:rPr>
          <w:rtl w:val="0"/>
        </w:rPr>
        <w:t xml:space="preserve"> TOP 10  CONTRIBUTING FEATURES  FOR EACH SUBGROUP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Cluster 0 - Top 10 Contributing Features:</w:t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rHeight w:val="559.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Contribution</w:t>
            </w:r>
          </w:p>
        </w:tc>
      </w:tr>
      <w:tr>
        <w:trPr>
          <w:cantSplit w:val="0"/>
          <w:trHeight w:val="428.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Borrowing dependency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0.459357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Working Capital/Equity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0.408724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Net Income to Stockholder's Equity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0.372058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Cash Flow to Equity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0.359115</w:t>
            </w:r>
          </w:p>
        </w:tc>
      </w:tr>
      <w:tr>
        <w:trPr>
          <w:cantSplit w:val="0"/>
          <w:trHeight w:val="54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Inventory and accounts receivable/Net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0.297313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Accounts Receivable Turnover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0.233757</w:t>
            </w:r>
          </w:p>
        </w:tc>
      </w:tr>
      <w:tr>
        <w:trPr>
          <w:cantSplit w:val="0"/>
          <w:trHeight w:val="54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 Collection Days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0.215721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debt/Total net worth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0.189792</w:t>
            </w:r>
          </w:p>
        </w:tc>
      </w:tr>
      <w:tr>
        <w:trPr>
          <w:cantSplit w:val="0"/>
          <w:trHeight w:val="54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 to Long-term Liability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0.186646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Asset Return Growth Rate Ratio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0.118938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Cluster 1 - Top 10 Contributing Features:</w:t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Cash Flow Per Share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0.512697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Cash Reinvestment %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0.420786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CFO to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0.328006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Asset Return Growth Rate Ratio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0.254415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Operating profit per person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0.220761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Asset Growth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0.205197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Net Value Growth Rate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0.205111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Operating Profit Growth Rate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0.178053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Inventory and accounts receivable/Net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0.167437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 Turnover 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0.150367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Cluster 2 - Top 10 Contributing Features:</w:t>
      </w: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Inventory and accounts receivable/Net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0.466427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Net Value Growth Rate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0.439378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Borrowing dependency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0.423351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Working Capital/Equity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0.378508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Net Income to Stockholder's Equity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0.314465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Cash Flow to Equity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0.278765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 to Long-term 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0.200317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No-credit Interval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0.098539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Operating Profit Per Share (Yuan ¥)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0.086770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Cash Reinvestment 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0.067553</w:t>
            </w:r>
          </w:p>
        </w:tc>
      </w:tr>
    </w:tbl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i w:val="1"/>
          <w:rtl w:val="0"/>
        </w:rPr>
        <w:t xml:space="preserve">Cluster 3 - Top 10 Contributing Features:</w:t>
      </w: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Contribution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Allocation rate per person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0.427757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Fixed Assets Turnover Frequency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0.380232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assets to GNP 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0.335249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Quick Assets/Total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0.234770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Fixed Assets to Assets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0.228958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Liability to 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0.218294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expense/Assets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0.215294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 to Long-term 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0.200287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 Turnover 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0.188668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Operating Expense 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0.179996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Cluster 4 - Top 10 Contributing Features:</w:t>
      </w:r>
    </w:p>
    <w:tbl>
      <w:tblPr>
        <w:tblStyle w:val="Table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Operating Profit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0.371677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Operating Funds to 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0.314562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Cash flow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0.264187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 to 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0.247329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Working Capital to Total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0.232967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Quick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0.225846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Cash Flow to 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0.217950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CFO to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0.199082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debt/Total net worth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0.192184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 to Long-term Liability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0.189875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Cluster 5 - Top 10 Contributing Features:</w:t>
      </w:r>
    </w:p>
    <w:tbl>
      <w:tblPr>
        <w:tblStyle w:val="Table6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Feature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Explained Variance Ratio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Cash Flow Per Share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0.344326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ROA(C) before interest and depreciation before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0.285647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Operating Profit Per Share (Yuan ¥)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0.281607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Operating Funds to Liability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0.279599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CFO to Assets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0.277786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Cash Flow to Liability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0.267007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Cash Flow to Total Assets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0.265539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Cash flow rate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0.259342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Retained Earnings to Total Assets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0.257248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Cash Reinvestment %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0.221456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>
          <w:b w:val="1"/>
        </w:rPr>
      </w:pPr>
      <w:bookmarkStart w:colFirst="0" w:colLast="0" w:name="_93sed6qpcsh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>
          <w:b w:val="1"/>
        </w:rPr>
      </w:pPr>
      <w:bookmarkStart w:colFirst="0" w:colLast="0" w:name="_ou40c9mpozsx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>
          <w:b w:val="1"/>
        </w:rPr>
      </w:pPr>
      <w:bookmarkStart w:colFirst="0" w:colLast="0" w:name="_ovz3cfjt04km" w:id="6"/>
      <w:bookmarkEnd w:id="6"/>
      <w:r w:rsidDel="00000000" w:rsidR="00000000" w:rsidRPr="00000000">
        <w:rPr>
          <w:b w:val="1"/>
          <w:rtl w:val="0"/>
        </w:rPr>
        <w:t xml:space="preserve">3.3 Result Table: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6"/>
        <w:gridCol w:w="2016"/>
        <w:gridCol w:w="2016"/>
        <w:gridCol w:w="2016"/>
        <w:gridCol w:w="2016"/>
        <w:tblGridChange w:id="0">
          <w:tblGrid>
            <w:gridCol w:w="2016"/>
            <w:gridCol w:w="2016"/>
            <w:gridCol w:w="2016"/>
            <w:gridCol w:w="2016"/>
            <w:gridCol w:w="20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Subgroup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 accuracy score base models [TT(TF)]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Accuracy score Meta Model [TT(TF)]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i w:val="1"/>
                <w:vertAlign w:val="subscript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Ryan 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 [6(0)]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 [6(0)]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Sameer Sethuram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 [24(0)]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 [24(0)]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Ryan 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 [4(0)]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 [4(0)]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Prutha Trivedi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1.00[34(0)]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1.00[34(0)]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Xiaotong Feng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0.9974 [129.67(0.33)]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 [130(0)]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 [0(0)]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 [0(0)]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0.9996 [198(0)]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 [198(0)]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15.954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wy6rf2wu54xd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ok0azk6bcu3j" w:id="8"/>
      <w:bookmarkEnd w:id="8"/>
      <w:r w:rsidDel="00000000" w:rsidR="00000000" w:rsidRPr="00000000">
        <w:rPr>
          <w:rtl w:val="0"/>
        </w:rPr>
        <w:t xml:space="preserve">Confusion Matrix for Cluster 0 Model (Ryan Hu):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487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whfcwu24ks1i" w:id="9"/>
      <w:bookmarkEnd w:id="9"/>
      <w:r w:rsidDel="00000000" w:rsidR="00000000" w:rsidRPr="00000000">
        <w:rPr>
          <w:rtl w:val="0"/>
        </w:rPr>
        <w:t xml:space="preserve">Confusion Matrix for Cluster 1 Model (Sameer Sethuram):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647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c7f8tryv1bts" w:id="10"/>
      <w:bookmarkEnd w:id="10"/>
      <w:r w:rsidDel="00000000" w:rsidR="00000000" w:rsidRPr="00000000">
        <w:rPr>
          <w:rtl w:val="0"/>
        </w:rPr>
        <w:t xml:space="preserve">Confusion Matrix for Cluster 2 (Ryan Hu):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56578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rPr/>
      </w:pPr>
      <w:bookmarkStart w:colFirst="0" w:colLast="0" w:name="_gxglicl9w88s" w:id="11"/>
      <w:bookmarkEnd w:id="11"/>
      <w:r w:rsidDel="00000000" w:rsidR="00000000" w:rsidRPr="00000000">
        <w:rPr>
          <w:rtl w:val="0"/>
        </w:rPr>
        <w:t xml:space="preserve">Confusion Matrix for Cluster 3 (Prutha Trivedi):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4432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rPr/>
      </w:pPr>
      <w:bookmarkStart w:colFirst="0" w:colLast="0" w:name="_o7vbc0src8wc" w:id="12"/>
      <w:bookmarkEnd w:id="12"/>
      <w:r w:rsidDel="00000000" w:rsidR="00000000" w:rsidRPr="00000000">
        <w:rPr>
          <w:rtl w:val="0"/>
        </w:rPr>
        <w:t xml:space="preserve">Confusion Matrix for Cluster 4 (Xiaotong Feng):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5619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/>
      </w:pPr>
      <w:bookmarkStart w:colFirst="0" w:colLast="0" w:name="_g2sbg5xt4fq1" w:id="13"/>
      <w:bookmarkEnd w:id="13"/>
      <w:r w:rsidDel="00000000" w:rsidR="00000000" w:rsidRPr="00000000">
        <w:rPr>
          <w:rtl w:val="0"/>
        </w:rPr>
        <w:t xml:space="preserve">Confusion Matrix for Cluster 5 (N/A):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Confusion matrix for cluster 5 is unavailable, as it is a constant subgroup.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