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3A8A"/>
            <w:tcMar>
              <w:top w:w="260" w:type="dxa"/>
              <w:bottom w:w="240" w:type="dxa"/>
              <w:left w:w="240" w:type="dxa"/>
              <w:right w:w="240" w:type="dxa"/>
            </w:tcMar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32"/>
              </w:rPr>
              <w:t>SUPERMARKET SALES &amp; BUSINESS INTELLIGENCE</w:t>
              <w:br/>
            </w:r>
            <w:r>
              <w:rPr>
                <w:color w:val="BFDBFE"/>
                <w:sz w:val="21"/>
              </w:rPr>
              <w:t>AICTE | IBM SkillsBuild Internship Capstone Project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8"/>
              </w:rPr>
              <w:t xml:space="preserve">Author: </w:t>
            </w:r>
            <w:r>
              <w:rPr>
                <w:color w:val="0F172A"/>
                <w:sz w:val="18"/>
              </w:rPr>
              <w:t>Md Sameer Khan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8"/>
              </w:rPr>
              <w:t xml:space="preserve">Email: </w:t>
            </w:r>
            <w:r>
              <w:rPr>
                <w:color w:val="0F172A"/>
                <w:sz w:val="18"/>
              </w:rPr>
              <w:t>kmdsameer993@gmail.com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8"/>
              </w:rPr>
              <w:t xml:space="preserve">Institution: </w:t>
            </w:r>
            <w:r>
              <w:rPr>
                <w:color w:val="0F172A"/>
                <w:sz w:val="18"/>
              </w:rPr>
              <w:t>Maharaja Agrasen Institute of Technology (MAIT)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8"/>
              </w:rPr>
              <w:t xml:space="preserve">Repository: </w:t>
            </w:r>
            <w:r>
              <w:rPr>
                <w:color w:val="0F172A"/>
                <w:sz w:val="18"/>
              </w:rPr>
              <w:t>github.com/Sameer-khan-27/IBM-SkillsBuild-Sales-Analytics</w:t>
            </w:r>
          </w:p>
        </w:tc>
      </w:tr>
    </w:tbl>
    <w:p>
      <w:pPr>
        <w:keepNext/>
        <w:spacing w:before="280" w:after="120"/>
      </w:pPr>
      <w:r>
        <w:rPr>
          <w:b/>
          <w:color w:val="0F172A"/>
          <w:sz w:val="26"/>
        </w:rPr>
        <w:t>1. Executive Summary</w:t>
      </w:r>
    </w:p>
    <w:p>
      <w:pPr>
        <w:spacing w:after="160" w:line="276" w:lineRule="auto"/>
      </w:pPr>
      <w:r>
        <w:t>This analytical report presents an operational and exploratory evaluation of 1,000 retail transaction records originating from three supermarket branches (Naypyitaw, Yangon, and Mandalay). Developed as an end-to-end internship capstone project, the analysis examines product category sales distributions, customer segment purchasing power, checkout payment preferences, and branch contribution levels to produce strategic business intelligence.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FF6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D4ED8"/>
                <w:sz w:val="15"/>
              </w:rPr>
              <w:t>TOTAL REVENUE</w:t>
              <w:br/>
            </w:r>
            <w:r>
              <w:rPr>
                <w:b/>
                <w:color w:val="0F172A"/>
                <w:sz w:val="25"/>
              </w:rPr>
              <w:t>$322,966.75</w:t>
              <w:br/>
            </w:r>
            <w:r>
              <w:rPr>
                <w:color w:val="64748B"/>
                <w:sz w:val="15"/>
              </w:rPr>
              <w:t>1,000 Transactions</w:t>
            </w:r>
          </w:p>
        </w:tc>
        <w:tc>
          <w:tcPr>
            <w:tcW w:type="dxa" w:w="2520"/>
            <w:shd w:fill="EFF6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D4ED8"/>
                <w:sz w:val="15"/>
              </w:rPr>
              <w:t>AVG ORDER VALUE</w:t>
              <w:br/>
            </w:r>
            <w:r>
              <w:rPr>
                <w:b/>
                <w:color w:val="0F172A"/>
                <w:sz w:val="25"/>
              </w:rPr>
              <w:t>$322.97</w:t>
              <w:br/>
            </w:r>
            <w:r>
              <w:rPr>
                <w:color w:val="64748B"/>
                <w:sz w:val="15"/>
              </w:rPr>
              <w:t>+9.59% Member Lift</w:t>
            </w:r>
          </w:p>
        </w:tc>
        <w:tc>
          <w:tcPr>
            <w:tcW w:type="dxa" w:w="2520"/>
            <w:shd w:fill="EFF6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D4ED8"/>
                <w:sz w:val="15"/>
              </w:rPr>
              <w:t>TOP CATEGORY</w:t>
              <w:br/>
            </w:r>
            <w:r>
              <w:rPr>
                <w:b/>
                <w:color w:val="0F172A"/>
                <w:sz w:val="25"/>
              </w:rPr>
              <w:t>Food &amp; Beverage</w:t>
              <w:br/>
            </w:r>
            <w:r>
              <w:rPr>
                <w:color w:val="64748B"/>
                <w:sz w:val="15"/>
              </w:rPr>
              <w:t>$56,144.84 Gross</w:t>
            </w:r>
          </w:p>
        </w:tc>
        <w:tc>
          <w:tcPr>
            <w:tcW w:type="dxa" w:w="2520"/>
            <w:shd w:fill="EFF6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D4ED8"/>
                <w:sz w:val="15"/>
              </w:rPr>
              <w:t>SATISFACTION</w:t>
              <w:br/>
            </w:r>
            <w:r>
              <w:rPr>
                <w:b/>
                <w:color w:val="0F172A"/>
                <w:sz w:val="25"/>
              </w:rPr>
              <w:t>6.97 / 10.0</w:t>
              <w:br/>
            </w:r>
            <w:r>
              <w:rPr>
                <w:color w:val="64748B"/>
                <w:sz w:val="15"/>
              </w:rPr>
              <w:t>Stable CSAT Index</w:t>
            </w:r>
          </w:p>
        </w:tc>
      </w:tr>
    </w:tbl>
    <w:p>
      <w:pPr>
        <w:keepNext/>
        <w:spacing w:before="280" w:after="120"/>
      </w:pPr>
      <w:r>
        <w:rPr>
          <w:b/>
          <w:color w:val="0F172A"/>
          <w:sz w:val="26"/>
        </w:rPr>
        <w:t>2. Key Strategic Insights</w:t>
      </w:r>
    </w:p>
    <w:p>
      <w:pPr>
        <w:spacing w:before="40" w:after="80" w:line="276" w:lineRule="auto"/>
      </w:pPr>
      <w:r>
        <w:rPr>
          <w:b/>
          <w:color w:val="1E3A8A"/>
          <w:sz w:val="19"/>
        </w:rPr>
        <w:t xml:space="preserve">•  Geographical Revenue Parity: </w:t>
      </w:r>
      <w:r>
        <w:rPr>
          <w:color w:val="334155"/>
          <w:sz w:val="19"/>
        </w:rPr>
        <w:t>Store revenues remain balanced across cities. Naypyitaw leads with $110,568.71 (34.2%), while Yangon ($106,200.37) and Mandalay ($106,197.67) record nearly identical top-line results (~32.9% each).</w:t>
      </w:r>
    </w:p>
    <w:p>
      <w:pPr>
        <w:spacing w:before="40" w:after="80" w:line="276" w:lineRule="auto"/>
      </w:pPr>
      <w:r>
        <w:rPr>
          <w:b/>
          <w:color w:val="1E3A8A"/>
          <w:sz w:val="19"/>
        </w:rPr>
        <w:t xml:space="preserve">•  Product Line Performance: </w:t>
      </w:r>
      <w:r>
        <w:rPr>
          <w:color w:val="334155"/>
          <w:sz w:val="19"/>
        </w:rPr>
        <w:t>Food and Beverages ($56,144.84) and Sports and Travel ($55,122.83) generate the highest sales volume. Even the lowest contributor (Health &amp; Beauty at $49,193.74) captures 15.2% of total turnover, indicating a resilient, diversified product catalog.</w:t>
      </w:r>
    </w:p>
    <w:p>
      <w:pPr>
        <w:spacing w:before="40" w:after="80" w:line="276" w:lineRule="auto"/>
      </w:pPr>
      <w:r>
        <w:rPr>
          <w:b/>
          <w:color w:val="1E3A8A"/>
          <w:sz w:val="19"/>
        </w:rPr>
        <w:t xml:space="preserve">•  High Digital Payment Penetration: </w:t>
      </w:r>
      <w:r>
        <w:rPr>
          <w:color w:val="334155"/>
          <w:sz w:val="19"/>
        </w:rPr>
        <w:t>Cashless payment methods account for 65.6% of customer checkouts (E-wallets at 34.5% and Credit Cards at 31.1%), outperforming traditional cash settlement (34.4%).</w:t>
      </w:r>
    </w:p>
    <w:p>
      <w:pPr>
        <w:spacing w:before="40" w:after="80" w:line="276" w:lineRule="auto"/>
      </w:pPr>
      <w:r>
        <w:rPr>
          <w:b/>
          <w:color w:val="1E3A8A"/>
          <w:sz w:val="19"/>
        </w:rPr>
        <w:t xml:space="preserve">•  Loyalty Member Uplift: </w:t>
      </w:r>
      <w:r>
        <w:rPr>
          <w:color w:val="334155"/>
          <w:sz w:val="19"/>
        </w:rPr>
        <w:t>Registered Loyalty Members generate an average basket size of $335.74 per order compared to $306.37 for Regular walk-in customers, delivering a statistically verified 9.59% revenue increase per transaction.</w:t>
      </w:r>
    </w:p>
    <w:p>
      <w:r>
        <w:br w:type="page"/>
      </w:r>
    </w:p>
    <w:p>
      <w:pPr>
        <w:keepNext/>
        <w:spacing w:before="280" w:after="120"/>
      </w:pPr>
      <w:r>
        <w:rPr>
          <w:b/>
          <w:color w:val="0F172A"/>
          <w:sz w:val="26"/>
        </w:rPr>
        <w:t>3. Visual Exploratory Analysis</w:t>
      </w:r>
    </w:p>
    <w:p>
      <w:pPr>
        <w:keepNext/>
        <w:spacing w:before="280" w:after="120"/>
      </w:pPr>
      <w:r>
        <w:rPr>
          <w:b/>
          <w:color w:val="1E3A8A"/>
          <w:sz w:val="22"/>
        </w:rPr>
        <w:t>A. Product Category Revenue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468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ategory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46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Figure 1: Ranked gross sales revenue across the six core product divisions.</w:t>
      </w:r>
    </w:p>
    <w:p>
      <w:pPr>
        <w:keepNext/>
        <w:spacing w:before="280" w:after="120"/>
      </w:pPr>
      <w:r>
        <w:rPr>
          <w:b/>
          <w:color w:val="1E3A8A"/>
          <w:sz w:val="22"/>
        </w:rPr>
        <w:t>B. Geographical Sales &amp; Payment Channel Breakdown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7996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ranch_pa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9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Figure 2: Store branch gross sales (left) and transaction settlement mode percentages (right).</w:t>
      </w:r>
    </w:p>
    <w:p>
      <w:pPr>
        <w:keepNext/>
        <w:spacing w:before="280" w:after="120"/>
      </w:pPr>
      <w:r>
        <w:rPr>
          <w:b/>
          <w:color w:val="1E3A8A"/>
          <w:sz w:val="22"/>
        </w:rPr>
        <w:t>C. Customer Segment Spending Behavior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ustomer_sp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7"/>
        </w:rPr>
        <w:t>Figure 3: Interquartile ranges and median transaction expenditures for Members vs. Normal shoppers.</w:t>
      </w:r>
    </w:p>
    <w:p>
      <w:pPr>
        <w:keepNext/>
        <w:spacing w:before="280" w:after="120"/>
      </w:pPr>
      <w:r>
        <w:rPr>
          <w:b/>
          <w:color w:val="0F172A"/>
          <w:sz w:val="26"/>
        </w:rPr>
        <w:t>4. Strategic Business Recommendations</w:t>
      </w:r>
    </w:p>
    <w:p>
      <w:pPr>
        <w:spacing w:before="40" w:after="80" w:line="276" w:lineRule="auto"/>
      </w:pPr>
      <w:r>
        <w:rPr>
          <w:b/>
          <w:color w:val="1E3A8A"/>
          <w:sz w:val="19"/>
        </w:rPr>
        <w:t xml:space="preserve">1.  </w:t>
      </w:r>
      <w:r>
        <w:rPr>
          <w:b/>
          <w:color w:val="1E3A8A"/>
          <w:sz w:val="19"/>
        </w:rPr>
        <w:t xml:space="preserve">Membership Conversion Strategy: </w:t>
      </w:r>
      <w:r>
        <w:rPr>
          <w:color w:val="334155"/>
          <w:sz w:val="19"/>
        </w:rPr>
        <w:t>Because loyalty members spend ~$29.37 more per visit, store personnel should be incentivized with enrollment targets, offering an immediate 5% first-purchase coupon on sign-up.</w:t>
      </w:r>
    </w:p>
    <w:p>
      <w:pPr>
        <w:spacing w:before="40" w:after="80" w:line="276" w:lineRule="auto"/>
      </w:pPr>
      <w:r>
        <w:rPr>
          <w:b/>
          <w:color w:val="1E3A8A"/>
          <w:sz w:val="19"/>
        </w:rPr>
        <w:t xml:space="preserve">2.  </w:t>
      </w:r>
      <w:r>
        <w:rPr>
          <w:b/>
          <w:color w:val="1E3A8A"/>
          <w:sz w:val="19"/>
        </w:rPr>
        <w:t xml:space="preserve">Express Digital Checkout Kiosks: </w:t>
      </w:r>
      <w:r>
        <w:rPr>
          <w:color w:val="334155"/>
          <w:sz w:val="19"/>
        </w:rPr>
        <w:t>With 65.6% of checkouts conducted via E-wallet or Credit Card, setting up dedicated digital self-checkout lanes will shorten wait times and reduce cashier overhead during peak hours.</w:t>
      </w:r>
    </w:p>
    <w:p>
      <w:pPr>
        <w:spacing w:before="40" w:after="80" w:line="276" w:lineRule="auto"/>
      </w:pPr>
      <w:r>
        <w:rPr>
          <w:b/>
          <w:color w:val="1E3A8A"/>
          <w:sz w:val="19"/>
        </w:rPr>
        <w:t xml:space="preserve">3.  </w:t>
      </w:r>
      <w:r>
        <w:rPr>
          <w:b/>
          <w:color w:val="1E3A8A"/>
          <w:sz w:val="19"/>
        </w:rPr>
        <w:t xml:space="preserve">Cross-Merchandise Bundling: </w:t>
      </w:r>
      <w:r>
        <w:rPr>
          <w:color w:val="334155"/>
          <w:sz w:val="19"/>
        </w:rPr>
        <w:t>To boost the lowest-performing category (Health &amp; Beauty at $49,194), create co-promotional discount bundles with top-performing Food &amp; Beverage staples.</w:t>
      </w:r>
    </w:p>
    <w:p>
      <w:pPr>
        <w:keepNext/>
        <w:spacing w:before="280" w:after="120"/>
      </w:pPr>
      <w:r>
        <w:rPr>
          <w:b/>
          <w:color w:val="0F172A"/>
          <w:sz w:val="26"/>
        </w:rPr>
        <w:t>5. Analytical Stack &amp; Repository Deliverables</w:t>
      </w:r>
    </w:p>
    <w:p>
      <w:pPr>
        <w:spacing w:after="120" w:line="276" w:lineRule="auto"/>
      </w:pPr>
      <w:r>
        <w:t>• Python Analytical Stack: Pandas (data cleaning, aggregations), NumPy (statistical indexing), Matplotlib &amp; Seaborn (visualizations).</w:t>
        <w:br/>
        <w:t>• Project Deliverables: Jupyter Notebook (Md_Sameer_Khan_Sales_Analytics.ipynb), Requirements (requirements.txt), Markdown Briefing (README.md).</w:t>
        <w:br/>
        <w:t>• Version Control: Git workflow tracked and publicly accessible at https://github.com/Sameer-khan-27/IBM-SkillsBuild-Sales-Analytics.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