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Supermarket Sales &amp; Business Analytics Report</w:t>
      </w:r>
    </w:p>
    <w:p>
      <w:r>
        <w:rPr>
          <w:b/>
        </w:rPr>
        <w:t xml:space="preserve">Author: </w:t>
      </w:r>
      <w:r>
        <w:t>Md Sameer Khan</w:t>
        <w:br/>
      </w:r>
      <w:r>
        <w:rPr>
          <w:b/>
        </w:rPr>
        <w:t xml:space="preserve">Program: </w:t>
      </w:r>
      <w:r>
        <w:t>AICTE | IBM SkillsBuild Data Analytics with AI Internship</w:t>
        <w:br/>
      </w:r>
      <w:r>
        <w:rPr>
          <w:b/>
        </w:rPr>
        <w:t xml:space="preserve">Institution: </w:t>
      </w:r>
      <w:r>
        <w:t>Maharaja Agrasen Institute of Technology</w:t>
        <w:br/>
      </w:r>
    </w:p>
    <w:p>
      <w:pPr>
        <w:pStyle w:val="Heading1"/>
      </w:pPr>
      <w:r>
        <w:t>1. Executive Summary</w:t>
      </w:r>
    </w:p>
    <w:p>
      <w:r>
        <w:t>This data analytics capstone evaluates 1,000 retail transaction records from supermarket branches across Yangon, Mandalay, and Naypyitaw. The business objectives are to evaluate category profitability, compare branch operational performance, examine payment channel preferences, and determine spending behaviors between member and non-member customer segments.</w:t>
      </w:r>
    </w:p>
    <w:p>
      <w:pPr>
        <w:pStyle w:val="Heading1"/>
      </w:pPr>
      <w:r>
        <w:t>2. Dataset Overview &amp; Key Metrics</w:t>
      </w:r>
    </w:p>
    <w:p>
      <w:r>
        <w:t>• Total Recorded Revenue: $322,966.75 across 1,000 transactions.</w:t>
        <w:br/>
        <w:t>• Average Order Value: $322.97 with an average customer rating of 6.97 / 10.0.</w:t>
        <w:br/>
        <w:t>• Top Performing Product Line: Food and beverages ($56,144.84), followed by Sports and travel ($55,122.83).</w:t>
        <w:br/>
        <w:t>• Leading Branch: Giza (Naypyitaw) generating $110,568.71 in sales.</w:t>
      </w:r>
    </w:p>
    <w:p>
      <w:pPr>
        <w:pStyle w:val="Heading1"/>
      </w:pPr>
      <w:r>
        <w:t>3. Visual Analytics &amp; Findings</w:t>
      </w:r>
    </w:p>
    <w:p>
      <w:pPr>
        <w:pStyle w:val="Heading2"/>
      </w:pPr>
      <w:r>
        <w:t>A. Product Line Contribution</w:t>
      </w:r>
    </w:p>
    <w:p>
      <w:r>
        <w:t>Sales distribution across the six core product categories:</w:t>
      </w:r>
    </w:p>
    <w:p>
      <w:pPr>
        <w:jc w:val="center"/>
      </w:pPr>
      <w:r>
        <w:drawing>
          <wp:inline xmlns:a="http://schemas.openxmlformats.org/drawingml/2006/main" xmlns:pic="http://schemas.openxmlformats.org/drawingml/2006/picture">
            <wp:extent cx="5029200" cy="2730137"/>
            <wp:docPr id="1" name="Picture 1"/>
            <wp:cNvGraphicFramePr>
              <a:graphicFrameLocks noChangeAspect="1"/>
            </wp:cNvGraphicFramePr>
            <a:graphic>
              <a:graphicData uri="http://schemas.openxmlformats.org/drawingml/2006/picture">
                <pic:pic>
                  <pic:nvPicPr>
                    <pic:cNvPr id="0" name="chart_category.png"/>
                    <pic:cNvPicPr/>
                  </pic:nvPicPr>
                  <pic:blipFill>
                    <a:blip r:embed="rId9"/>
                    <a:stretch>
                      <a:fillRect/>
                    </a:stretch>
                  </pic:blipFill>
                  <pic:spPr>
                    <a:xfrm>
                      <a:off x="0" y="0"/>
                      <a:ext cx="5029200" cy="2730137"/>
                    </a:xfrm>
                    <a:prstGeom prst="rect"/>
                  </pic:spPr>
                </pic:pic>
              </a:graphicData>
            </a:graphic>
          </wp:inline>
        </w:drawing>
      </w:r>
    </w:p>
    <w:p>
      <w:pPr>
        <w:pStyle w:val="Heading2"/>
      </w:pPr>
      <w:r>
        <w:t>B. Payment Channel Adoption</w:t>
      </w:r>
    </w:p>
    <w:p>
      <w:r>
        <w:t>Customer checkout preferences reflect strong adoption of modern cashless mechanisms:</w:t>
      </w:r>
    </w:p>
    <w:p>
      <w:pPr>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chart_payment.png"/>
                    <pic:cNvPicPr/>
                  </pic:nvPicPr>
                  <pic:blipFill>
                    <a:blip r:embed="rId10"/>
                    <a:stretch>
                      <a:fillRect/>
                    </a:stretch>
                  </pic:blipFill>
                  <pic:spPr>
                    <a:xfrm>
                      <a:off x="0" y="0"/>
                      <a:ext cx="3840480" cy="3840480"/>
                    </a:xfrm>
                    <a:prstGeom prst="rect"/>
                  </pic:spPr>
                </pic:pic>
              </a:graphicData>
            </a:graphic>
          </wp:inline>
        </w:drawing>
      </w:r>
    </w:p>
    <w:p>
      <w:pPr>
        <w:pStyle w:val="Heading2"/>
      </w:pPr>
      <w:r>
        <w:t>C. Geographic Branch Comparison</w:t>
      </w:r>
    </w:p>
    <w:p>
      <w:r>
        <w:t>Sales comparison across store branch locations:</w:t>
      </w:r>
    </w:p>
    <w:p>
      <w:pPr>
        <w:jc w:val="center"/>
      </w:pPr>
      <w:r>
        <w:drawing>
          <wp:inline xmlns:a="http://schemas.openxmlformats.org/drawingml/2006/main" xmlns:pic="http://schemas.openxmlformats.org/drawingml/2006/picture">
            <wp:extent cx="4754880" cy="2773680"/>
            <wp:docPr id="3" name="Picture 3"/>
            <wp:cNvGraphicFramePr>
              <a:graphicFrameLocks noChangeAspect="1"/>
            </wp:cNvGraphicFramePr>
            <a:graphic>
              <a:graphicData uri="http://schemas.openxmlformats.org/drawingml/2006/picture">
                <pic:pic>
                  <pic:nvPicPr>
                    <pic:cNvPr id="0" name="chart_branch.png"/>
                    <pic:cNvPicPr/>
                  </pic:nvPicPr>
                  <pic:blipFill>
                    <a:blip r:embed="rId11"/>
                    <a:stretch>
                      <a:fillRect/>
                    </a:stretch>
                  </pic:blipFill>
                  <pic:spPr>
                    <a:xfrm>
                      <a:off x="0" y="0"/>
                      <a:ext cx="4754880" cy="2773680"/>
                    </a:xfrm>
                    <a:prstGeom prst="rect"/>
                  </pic:spPr>
                </pic:pic>
              </a:graphicData>
            </a:graphic>
          </wp:inline>
        </w:drawing>
      </w:r>
    </w:p>
    <w:p>
      <w:pPr>
        <w:pStyle w:val="Heading1"/>
      </w:pPr>
      <w:r>
        <w:t>4. Business Recommendations</w:t>
      </w:r>
    </w:p>
    <w:p>
      <w:r>
        <w:t>1. Stock Replenishment: Prioritize high-turnover lines ('Food and beverages' and 'Sports and travel') to prevent stockout events.</w:t>
        <w:br/>
        <w:t>2. Loyalty Upselling: Members have a significantly higher basket average ($335.74 vs. $306.37). Launch tiered rewards to convert normal walk-ins.</w:t>
        <w:br/>
        <w:t>3. Digital Checkout Optimization: With E-wallet (34.5%) and Credit card (31.1%) comprising ~65.6% of volume, offer dedicated self-checkout lanes.</w:t>
      </w:r>
    </w:p>
    <w:p>
      <w:pPr>
        <w:pStyle w:val="Heading1"/>
      </w:pPr>
      <w:r>
        <w:t>5. Conclusion</w:t>
      </w:r>
    </w:p>
    <w:p>
      <w:r>
        <w:t>Deploying an interactive dashboard alongside structured data analysis provides management with real-time operational visibility, ensuring improved inventory management and higher customer retention.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