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B349566" w14:textId="77777777" w:rsidR="002209B7" w:rsidRPr="002209B7" w:rsidRDefault="002209B7" w:rsidP="002209B7">
      <w:pPr>
        <w:shd w:val="clear" w:color="auto" w:fill="FFFFFF"/>
        <w:spacing w:after="0" w:line="240" w:lineRule="auto"/>
        <w:outlineLvl w:val="0"/>
        <w:rPr>
          <w:rFonts w:ascii="Times New Roman" w:eastAsia="Times New Roman" w:hAnsi="Times New Roman" w:cs="Times New Roman"/>
          <w:b/>
          <w:bCs/>
          <w:color w:val="1F1F1F"/>
          <w:kern w:val="36"/>
          <w:sz w:val="48"/>
          <w:szCs w:val="48"/>
          <w:lang w:eastAsia="en-IN"/>
          <w14:ligatures w14:val="none"/>
        </w:rPr>
      </w:pPr>
      <w:r w:rsidRPr="002209B7">
        <w:rPr>
          <w:rFonts w:ascii="Times New Roman" w:eastAsia="Times New Roman" w:hAnsi="Times New Roman" w:cs="Times New Roman"/>
          <w:b/>
          <w:bCs/>
          <w:color w:val="1F1F1F"/>
          <w:kern w:val="36"/>
          <w:sz w:val="48"/>
          <w:szCs w:val="48"/>
          <w:lang w:eastAsia="en-IN"/>
          <w14:ligatures w14:val="none"/>
        </w:rPr>
        <w:t>Understand hybrid transactional analytical processing with Azure Synapse Link</w:t>
      </w:r>
    </w:p>
    <w:p w14:paraId="76067B25" w14:textId="77777777" w:rsidR="00786DBF" w:rsidRDefault="00786DBF"/>
    <w:p w14:paraId="47AC4DAA" w14:textId="77777777" w:rsidR="002209B7" w:rsidRDefault="002209B7" w:rsidP="002209B7">
      <w:pPr>
        <w:pStyle w:val="NormalWeb"/>
        <w:shd w:val="clear" w:color="auto" w:fill="FFFFFF"/>
        <w:spacing w:before="0" w:beforeAutospacing="0"/>
        <w:rPr>
          <w:color w:val="1F1F1F"/>
        </w:rPr>
      </w:pPr>
      <w:r>
        <w:rPr>
          <w:color w:val="1F1F1F"/>
        </w:rPr>
        <w:t xml:space="preserve">Hybrid Transactional and Analytical Processing enables businesses to perform analytics over a database system that is seen to provide transactional capabilities without impacting the performance of the system. This enables organizations to use a database to </w:t>
      </w:r>
      <w:proofErr w:type="spellStart"/>
      <w:r>
        <w:rPr>
          <w:color w:val="1F1F1F"/>
        </w:rPr>
        <w:t>fulfill</w:t>
      </w:r>
      <w:proofErr w:type="spellEnd"/>
      <w:r>
        <w:rPr>
          <w:color w:val="1F1F1F"/>
        </w:rPr>
        <w:t xml:space="preserve"> both transactional and analytical needs to support near real-time analysis of operational data to make decisions about the information that is being </w:t>
      </w:r>
      <w:proofErr w:type="spellStart"/>
      <w:r>
        <w:rPr>
          <w:color w:val="1F1F1F"/>
        </w:rPr>
        <w:t>analyzed</w:t>
      </w:r>
      <w:proofErr w:type="spellEnd"/>
      <w:r>
        <w:rPr>
          <w:color w:val="1F1F1F"/>
        </w:rPr>
        <w:t>.</w:t>
      </w:r>
    </w:p>
    <w:p w14:paraId="382C5058" w14:textId="77777777" w:rsidR="002209B7" w:rsidRDefault="002209B7" w:rsidP="002209B7">
      <w:pPr>
        <w:pStyle w:val="NormalWeb"/>
        <w:shd w:val="clear" w:color="auto" w:fill="FFFFFF"/>
        <w:spacing w:before="0" w:beforeAutospacing="0"/>
        <w:rPr>
          <w:color w:val="1F1F1F"/>
        </w:rPr>
      </w:pPr>
      <w:r>
        <w:rPr>
          <w:color w:val="1F1F1F"/>
        </w:rPr>
        <w:t>As an example, Tailwind Traders use Azure Cosmos DB to store user profile data from their eCommerce site. The NoSQL document store provided by the Azure Cosmos DB SQL API provides the familiarity of managing their data using SQL syntax, while being able to read and write the files at a massive, global scale.</w:t>
      </w:r>
    </w:p>
    <w:p w14:paraId="171314CA" w14:textId="77777777" w:rsidR="002209B7" w:rsidRDefault="002209B7" w:rsidP="002209B7">
      <w:pPr>
        <w:pStyle w:val="NormalWeb"/>
        <w:shd w:val="clear" w:color="auto" w:fill="FFFFFF"/>
        <w:spacing w:before="0" w:beforeAutospacing="0"/>
        <w:rPr>
          <w:color w:val="1F1F1F"/>
        </w:rPr>
      </w:pPr>
      <w:r>
        <w:rPr>
          <w:color w:val="1F1F1F"/>
        </w:rPr>
        <w:t>While Tailwind Traders is happy with the capabilities and performance of Azure Cosmos DB, they are concerned about the cost of executing a large volume of analytical queries over multiple partitions (cross-partition queries) from their data warehouse. They want to efficiently access all the data without needing to increase the Azure Cosmos DB request units (RUs). They have looked at options for extracting data from their containers to the data lake as it changes, through the Azure Cosmos DB change feed mechanism. The problem with this approach is the extra service and code dependencies and long-term maintenance of the solution. They could perform bulk exports from a Synapse Pipeline, but then they won't have the most up-to-date information at any given moment.</w:t>
      </w:r>
    </w:p>
    <w:p w14:paraId="52115489" w14:textId="77777777" w:rsidR="002209B7" w:rsidRDefault="002209B7" w:rsidP="002209B7">
      <w:pPr>
        <w:pStyle w:val="NormalWeb"/>
        <w:shd w:val="clear" w:color="auto" w:fill="FFFFFF"/>
        <w:spacing w:before="0" w:beforeAutospacing="0"/>
        <w:rPr>
          <w:color w:val="1F1F1F"/>
        </w:rPr>
      </w:pPr>
      <w:r>
        <w:rPr>
          <w:color w:val="1F1F1F"/>
        </w:rPr>
        <w:t>You decide to enable Azure Synapse Link for Cosmos DB and enable the analytical store on their Azure Cosmos DB containers. With this configuration, all transactional data is automatically stored in a fully isolated column store. This store enables large-scale analytics against the operational data in Azure Cosmos DB, without impacting the transactional workloads or incurring resource unit (RU) costs. Azure Synapse Link for Cosmos DB creates a tight integration between Azure Cosmos DB and Azure Synapse Analytics, which enables Tailwind Traders to run near real-time analytics over their operational data with no-ETL and full performance isolation from their transactional workloads.</w:t>
      </w:r>
    </w:p>
    <w:p w14:paraId="7DE4ECB9" w14:textId="77777777" w:rsidR="002209B7" w:rsidRDefault="002209B7" w:rsidP="002209B7">
      <w:pPr>
        <w:pStyle w:val="NormalWeb"/>
        <w:shd w:val="clear" w:color="auto" w:fill="FFFFFF"/>
        <w:spacing w:before="0" w:beforeAutospacing="0"/>
        <w:rPr>
          <w:color w:val="1F1F1F"/>
        </w:rPr>
      </w:pPr>
      <w:r>
        <w:rPr>
          <w:color w:val="1F1F1F"/>
        </w:rPr>
        <w:t>By combining the distributed scale of Cosmos DB's transactional processing with the built-in analytical store and the computing power of Azure Synapse Analytics, Azure Synapse Link enables a Hybrid Transactional/Analytical Processing (HTAP) architecture for optimizing Tailwind Trader's business processes. This integration eliminates ETL processes, enabling business analysts, data engineers &amp; data scientists to self-serve and run near real-time BI, analytics, and Machine Learning pipelines over operational data.</w:t>
      </w:r>
    </w:p>
    <w:p w14:paraId="525A770F" w14:textId="77777777" w:rsidR="002209B7" w:rsidRDefault="002209B7" w:rsidP="002209B7">
      <w:pPr>
        <w:pStyle w:val="NormalWeb"/>
        <w:shd w:val="clear" w:color="auto" w:fill="FFFFFF"/>
        <w:spacing w:before="0" w:beforeAutospacing="0"/>
        <w:rPr>
          <w:color w:val="1F1F1F"/>
        </w:rPr>
      </w:pPr>
      <w:r>
        <w:rPr>
          <w:color w:val="1F1F1F"/>
        </w:rPr>
        <w:t>Before we can create an Azure Cosmos DB container with an analytical store, we must first enable Azure Synapse Link.</w:t>
      </w:r>
    </w:p>
    <w:p w14:paraId="4E11D008" w14:textId="77777777" w:rsidR="002209B7" w:rsidRDefault="002209B7" w:rsidP="002209B7">
      <w:pPr>
        <w:pStyle w:val="Heading2"/>
        <w:shd w:val="clear" w:color="auto" w:fill="FFFFFF"/>
        <w:spacing w:before="0"/>
        <w:rPr>
          <w:color w:val="1F1F1F"/>
        </w:rPr>
      </w:pPr>
      <w:r>
        <w:rPr>
          <w:rStyle w:val="Strong"/>
          <w:rFonts w:ascii="unset" w:hAnsi="unset"/>
          <w:b w:val="0"/>
          <w:bCs w:val="0"/>
          <w:color w:val="1F1F1F"/>
        </w:rPr>
        <w:t>Enable Azure Synapse Link</w:t>
      </w:r>
    </w:p>
    <w:p w14:paraId="1C66A2BE" w14:textId="77777777" w:rsidR="002209B7" w:rsidRDefault="002209B7" w:rsidP="002209B7">
      <w:pPr>
        <w:pStyle w:val="NormalWeb"/>
        <w:shd w:val="clear" w:color="auto" w:fill="FFFFFF"/>
        <w:spacing w:before="0" w:beforeAutospacing="0"/>
        <w:rPr>
          <w:color w:val="1F1F1F"/>
        </w:rPr>
      </w:pPr>
      <w:r>
        <w:rPr>
          <w:color w:val="1F1F1F"/>
        </w:rPr>
        <w:t>1. Navigate to the Azure portal (</w:t>
      </w:r>
      <w:hyperlink r:id="rId4" w:tgtFrame="_blank" w:history="1">
        <w:r>
          <w:rPr>
            <w:rStyle w:val="Hyperlink"/>
          </w:rPr>
          <w:t>https://portal.azure.com</w:t>
        </w:r>
      </w:hyperlink>
      <w:r>
        <w:rPr>
          <w:color w:val="1F1F1F"/>
        </w:rPr>
        <w:t>) and select the </w:t>
      </w:r>
      <w:r>
        <w:rPr>
          <w:rStyle w:val="Strong"/>
          <w:rFonts w:ascii="unset" w:eastAsiaTheme="majorEastAsia" w:hAnsi="unset"/>
          <w:color w:val="1F1F1F"/>
        </w:rPr>
        <w:t>Azure Cosmos DB account</w:t>
      </w:r>
      <w:r>
        <w:rPr>
          <w:color w:val="1F1F1F"/>
        </w:rPr>
        <w:t>.</w:t>
      </w:r>
    </w:p>
    <w:p w14:paraId="287E12B7" w14:textId="6AEA9341" w:rsidR="002209B7" w:rsidRDefault="002209B7" w:rsidP="002209B7">
      <w:pPr>
        <w:shd w:val="clear" w:color="auto" w:fill="FFFFFF"/>
        <w:rPr>
          <w:rFonts w:ascii="Arial" w:hAnsi="Arial" w:cs="Arial"/>
          <w:color w:val="1F1F1F"/>
          <w:sz w:val="21"/>
          <w:szCs w:val="21"/>
        </w:rPr>
      </w:pPr>
      <w:r>
        <w:rPr>
          <w:rFonts w:ascii="Arial" w:hAnsi="Arial" w:cs="Arial"/>
          <w:noProof/>
          <w:color w:val="1F1F1F"/>
          <w:sz w:val="21"/>
          <w:szCs w:val="21"/>
        </w:rPr>
        <w:lastRenderedPageBreak/>
        <w:drawing>
          <wp:inline distT="0" distB="0" distL="0" distR="0" wp14:anchorId="564FCA54" wp14:editId="2C3E3E58">
            <wp:extent cx="5731510" cy="1237615"/>
            <wp:effectExtent l="0" t="0" r="2540" b="635"/>
            <wp:docPr id="1" name="Picture 1" descr="Snippet of a Power BI interface with the Azure Cosmos DB account highligh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nippet of a Power BI interface with the Azure Cosmos DB account highlighted"/>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31510" cy="1237615"/>
                    </a:xfrm>
                    <a:prstGeom prst="rect">
                      <a:avLst/>
                    </a:prstGeom>
                    <a:noFill/>
                    <a:ln>
                      <a:noFill/>
                    </a:ln>
                  </pic:spPr>
                </pic:pic>
              </a:graphicData>
            </a:graphic>
          </wp:inline>
        </w:drawing>
      </w:r>
    </w:p>
    <w:p w14:paraId="4E79C3C2" w14:textId="77777777" w:rsidR="002209B7" w:rsidRPr="002209B7" w:rsidRDefault="002209B7" w:rsidP="002209B7">
      <w:pPr>
        <w:shd w:val="clear" w:color="auto" w:fill="FFFFFF"/>
        <w:spacing w:after="100" w:afterAutospacing="1" w:line="240" w:lineRule="auto"/>
        <w:rPr>
          <w:rFonts w:ascii="Times New Roman" w:eastAsia="Times New Roman" w:hAnsi="Times New Roman" w:cs="Times New Roman"/>
          <w:color w:val="1F1F1F"/>
          <w:kern w:val="0"/>
          <w:sz w:val="24"/>
          <w:szCs w:val="24"/>
          <w:lang w:eastAsia="en-IN"/>
          <w14:ligatures w14:val="none"/>
        </w:rPr>
      </w:pPr>
      <w:r w:rsidRPr="002209B7">
        <w:rPr>
          <w:rFonts w:ascii="Times New Roman" w:eastAsia="Times New Roman" w:hAnsi="Times New Roman" w:cs="Times New Roman"/>
          <w:color w:val="1F1F1F"/>
          <w:kern w:val="0"/>
          <w:sz w:val="24"/>
          <w:szCs w:val="24"/>
          <w:lang w:eastAsia="en-IN"/>
          <w14:ligatures w14:val="none"/>
        </w:rPr>
        <w:t>2. Select </w:t>
      </w:r>
      <w:r w:rsidRPr="002209B7">
        <w:rPr>
          <w:rFonts w:ascii="unset" w:eastAsia="Times New Roman" w:hAnsi="unset" w:cs="Times New Roman"/>
          <w:b/>
          <w:bCs/>
          <w:color w:val="1F1F1F"/>
          <w:kern w:val="0"/>
          <w:sz w:val="24"/>
          <w:szCs w:val="24"/>
          <w:lang w:eastAsia="en-IN"/>
          <w14:ligatures w14:val="none"/>
        </w:rPr>
        <w:t>Features</w:t>
      </w:r>
      <w:r w:rsidRPr="002209B7">
        <w:rPr>
          <w:rFonts w:ascii="Times New Roman" w:eastAsia="Times New Roman" w:hAnsi="Times New Roman" w:cs="Times New Roman"/>
          <w:color w:val="1F1F1F"/>
          <w:kern w:val="0"/>
          <w:sz w:val="24"/>
          <w:szCs w:val="24"/>
          <w:lang w:eastAsia="en-IN"/>
          <w14:ligatures w14:val="none"/>
        </w:rPr>
        <w:t> in the left-hand menu </w:t>
      </w:r>
      <w:r w:rsidRPr="002209B7">
        <w:rPr>
          <w:rFonts w:ascii="unset" w:eastAsia="Times New Roman" w:hAnsi="unset" w:cs="Times New Roman"/>
          <w:b/>
          <w:bCs/>
          <w:color w:val="1F1F1F"/>
          <w:kern w:val="0"/>
          <w:sz w:val="24"/>
          <w:szCs w:val="24"/>
          <w:lang w:eastAsia="en-IN"/>
          <w14:ligatures w14:val="none"/>
        </w:rPr>
        <w:t>(1)</w:t>
      </w:r>
      <w:r w:rsidRPr="002209B7">
        <w:rPr>
          <w:rFonts w:ascii="Times New Roman" w:eastAsia="Times New Roman" w:hAnsi="Times New Roman" w:cs="Times New Roman"/>
          <w:color w:val="1F1F1F"/>
          <w:kern w:val="0"/>
          <w:sz w:val="24"/>
          <w:szCs w:val="24"/>
          <w:lang w:eastAsia="en-IN"/>
          <w14:ligatures w14:val="none"/>
        </w:rPr>
        <w:t>, then select </w:t>
      </w:r>
      <w:r w:rsidRPr="002209B7">
        <w:rPr>
          <w:rFonts w:ascii="unset" w:eastAsia="Times New Roman" w:hAnsi="unset" w:cs="Times New Roman"/>
          <w:b/>
          <w:bCs/>
          <w:color w:val="1F1F1F"/>
          <w:kern w:val="0"/>
          <w:sz w:val="24"/>
          <w:szCs w:val="24"/>
          <w:lang w:eastAsia="en-IN"/>
          <w14:ligatures w14:val="none"/>
        </w:rPr>
        <w:t>Azure Synapse Link (2)</w:t>
      </w:r>
      <w:r w:rsidRPr="002209B7">
        <w:rPr>
          <w:rFonts w:ascii="Times New Roman" w:eastAsia="Times New Roman" w:hAnsi="Times New Roman" w:cs="Times New Roman"/>
          <w:color w:val="1F1F1F"/>
          <w:kern w:val="0"/>
          <w:sz w:val="24"/>
          <w:szCs w:val="24"/>
          <w:lang w:eastAsia="en-IN"/>
          <w14:ligatures w14:val="none"/>
        </w:rPr>
        <w:t>.</w:t>
      </w:r>
    </w:p>
    <w:p w14:paraId="3057C51D" w14:textId="2DAF88D3" w:rsidR="002209B7" w:rsidRPr="002209B7" w:rsidRDefault="002209B7" w:rsidP="002209B7">
      <w:pPr>
        <w:shd w:val="clear" w:color="auto" w:fill="FFFFFF"/>
        <w:spacing w:after="0" w:line="240" w:lineRule="auto"/>
        <w:rPr>
          <w:rFonts w:ascii="Arial" w:eastAsia="Times New Roman" w:hAnsi="Arial" w:cs="Arial"/>
          <w:color w:val="1F1F1F"/>
          <w:kern w:val="0"/>
          <w:sz w:val="21"/>
          <w:szCs w:val="21"/>
          <w:lang w:eastAsia="en-IN"/>
          <w14:ligatures w14:val="none"/>
        </w:rPr>
      </w:pPr>
      <w:r w:rsidRPr="002209B7">
        <w:rPr>
          <w:rFonts w:ascii="Arial" w:eastAsia="Times New Roman" w:hAnsi="Arial" w:cs="Arial"/>
          <w:noProof/>
          <w:color w:val="1F1F1F"/>
          <w:kern w:val="0"/>
          <w:sz w:val="21"/>
          <w:szCs w:val="21"/>
          <w:lang w:eastAsia="en-IN"/>
          <w14:ligatures w14:val="none"/>
        </w:rPr>
        <w:drawing>
          <wp:inline distT="0" distB="0" distL="0" distR="0" wp14:anchorId="4A80E90F" wp14:editId="31448BAF">
            <wp:extent cx="5731510" cy="1751965"/>
            <wp:effectExtent l="0" t="0" r="2540" b="635"/>
            <wp:docPr id="2" name="Picture 2" descr="ALTSnippet of the Screenshot of the Synapse Analytics data hub interface with the Features option  highligh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ALTSnippet of the Screenshot of the Synapse Analytics data hub interface with the Features option  highlighted"/>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31510" cy="1751965"/>
                    </a:xfrm>
                    <a:prstGeom prst="rect">
                      <a:avLst/>
                    </a:prstGeom>
                    <a:noFill/>
                    <a:ln>
                      <a:noFill/>
                    </a:ln>
                  </pic:spPr>
                </pic:pic>
              </a:graphicData>
            </a:graphic>
          </wp:inline>
        </w:drawing>
      </w:r>
    </w:p>
    <w:p w14:paraId="65D93317" w14:textId="77777777" w:rsidR="002209B7" w:rsidRDefault="002209B7"/>
    <w:p w14:paraId="3BF7A0CB" w14:textId="77777777" w:rsidR="002209B7" w:rsidRPr="002209B7" w:rsidRDefault="002209B7" w:rsidP="002209B7">
      <w:pPr>
        <w:shd w:val="clear" w:color="auto" w:fill="FFFFFF"/>
        <w:spacing w:after="100" w:afterAutospacing="1" w:line="240" w:lineRule="auto"/>
        <w:rPr>
          <w:rFonts w:ascii="Times New Roman" w:eastAsia="Times New Roman" w:hAnsi="Times New Roman" w:cs="Times New Roman"/>
          <w:color w:val="1F1F1F"/>
          <w:kern w:val="0"/>
          <w:sz w:val="24"/>
          <w:szCs w:val="24"/>
          <w:lang w:eastAsia="en-IN"/>
          <w14:ligatures w14:val="none"/>
        </w:rPr>
      </w:pPr>
      <w:r w:rsidRPr="002209B7">
        <w:rPr>
          <w:rFonts w:ascii="Times New Roman" w:eastAsia="Times New Roman" w:hAnsi="Times New Roman" w:cs="Times New Roman"/>
          <w:color w:val="1F1F1F"/>
          <w:kern w:val="0"/>
          <w:sz w:val="24"/>
          <w:szCs w:val="24"/>
          <w:lang w:eastAsia="en-IN"/>
          <w14:ligatures w14:val="none"/>
        </w:rPr>
        <w:t>3. Select </w:t>
      </w:r>
      <w:r w:rsidRPr="002209B7">
        <w:rPr>
          <w:rFonts w:ascii="unset" w:eastAsia="Times New Roman" w:hAnsi="unset" w:cs="Times New Roman"/>
          <w:b/>
          <w:bCs/>
          <w:color w:val="1F1F1F"/>
          <w:kern w:val="0"/>
          <w:sz w:val="24"/>
          <w:szCs w:val="24"/>
          <w:lang w:eastAsia="en-IN"/>
          <w14:ligatures w14:val="none"/>
        </w:rPr>
        <w:t>Enable</w:t>
      </w:r>
      <w:r w:rsidRPr="002209B7">
        <w:rPr>
          <w:rFonts w:ascii="Times New Roman" w:eastAsia="Times New Roman" w:hAnsi="Times New Roman" w:cs="Times New Roman"/>
          <w:color w:val="1F1F1F"/>
          <w:kern w:val="0"/>
          <w:sz w:val="24"/>
          <w:szCs w:val="24"/>
          <w:lang w:eastAsia="en-IN"/>
          <w14:ligatures w14:val="none"/>
        </w:rPr>
        <w:t>.</w:t>
      </w:r>
    </w:p>
    <w:p w14:paraId="25E04E36" w14:textId="1E069E11" w:rsidR="002209B7" w:rsidRPr="002209B7" w:rsidRDefault="002209B7" w:rsidP="002209B7">
      <w:pPr>
        <w:shd w:val="clear" w:color="auto" w:fill="FFFFFF"/>
        <w:spacing w:after="0" w:line="240" w:lineRule="auto"/>
        <w:rPr>
          <w:rFonts w:ascii="Arial" w:eastAsia="Times New Roman" w:hAnsi="Arial" w:cs="Arial"/>
          <w:color w:val="1F1F1F"/>
          <w:kern w:val="0"/>
          <w:sz w:val="21"/>
          <w:szCs w:val="21"/>
          <w:lang w:eastAsia="en-IN"/>
          <w14:ligatures w14:val="none"/>
        </w:rPr>
      </w:pPr>
      <w:r w:rsidRPr="002209B7">
        <w:rPr>
          <w:rFonts w:ascii="Arial" w:eastAsia="Times New Roman" w:hAnsi="Arial" w:cs="Arial"/>
          <w:noProof/>
          <w:color w:val="1F1F1F"/>
          <w:kern w:val="0"/>
          <w:sz w:val="21"/>
          <w:szCs w:val="21"/>
          <w:lang w:eastAsia="en-IN"/>
          <w14:ligatures w14:val="none"/>
        </w:rPr>
        <w:drawing>
          <wp:inline distT="0" distB="0" distL="0" distR="0" wp14:anchorId="44A2FE03" wp14:editId="4F201D08">
            <wp:extent cx="5731510" cy="3484880"/>
            <wp:effectExtent l="0" t="0" r="2540" b="1270"/>
            <wp:docPr id="3" name="Picture 3" descr="Screen shot of the Azure Synapse modal form with the Enable button highligh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Screen shot of the Azure Synapse modal form with the Enable button highlighted"/>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1510" cy="3484880"/>
                    </a:xfrm>
                    <a:prstGeom prst="rect">
                      <a:avLst/>
                    </a:prstGeom>
                    <a:noFill/>
                    <a:ln>
                      <a:noFill/>
                    </a:ln>
                  </pic:spPr>
                </pic:pic>
              </a:graphicData>
            </a:graphic>
          </wp:inline>
        </w:drawing>
      </w:r>
    </w:p>
    <w:p w14:paraId="3267CE02" w14:textId="77777777" w:rsidR="002209B7" w:rsidRDefault="002209B7"/>
    <w:p w14:paraId="74215835" w14:textId="77777777" w:rsidR="002209B7" w:rsidRDefault="002209B7" w:rsidP="002209B7">
      <w:pPr>
        <w:pStyle w:val="Heading2"/>
        <w:shd w:val="clear" w:color="auto" w:fill="FFFFFF"/>
        <w:rPr>
          <w:color w:val="1F1F1F"/>
        </w:rPr>
      </w:pPr>
      <w:r>
        <w:rPr>
          <w:rStyle w:val="Strong"/>
          <w:rFonts w:ascii="unset" w:hAnsi="unset"/>
          <w:b w:val="0"/>
          <w:bCs w:val="0"/>
          <w:color w:val="1F1F1F"/>
        </w:rPr>
        <w:t xml:space="preserve">Create a new Azure Cosmos DB </w:t>
      </w:r>
      <w:proofErr w:type="gramStart"/>
      <w:r>
        <w:rPr>
          <w:rStyle w:val="Strong"/>
          <w:rFonts w:ascii="unset" w:hAnsi="unset"/>
          <w:b w:val="0"/>
          <w:bCs w:val="0"/>
          <w:color w:val="1F1F1F"/>
        </w:rPr>
        <w:t>container</w:t>
      </w:r>
      <w:proofErr w:type="gramEnd"/>
    </w:p>
    <w:p w14:paraId="3E41EC3B" w14:textId="77777777" w:rsidR="002209B7" w:rsidRDefault="002209B7" w:rsidP="002209B7">
      <w:pPr>
        <w:pStyle w:val="NormalWeb"/>
        <w:shd w:val="clear" w:color="auto" w:fill="FFFFFF"/>
        <w:spacing w:before="0" w:beforeAutospacing="0"/>
        <w:rPr>
          <w:color w:val="1F1F1F"/>
        </w:rPr>
      </w:pPr>
      <w:r>
        <w:rPr>
          <w:color w:val="1F1F1F"/>
        </w:rPr>
        <w:t>Tailwind Traders has an Azure Cosmos DB container named OnlineUserProfile01. Since we enabled the Azure Synapse Link feature after the container was already created, we cannot enable the analytical store on the container. We will create a new container that has the same partition key and enable the analytical store.</w:t>
      </w:r>
    </w:p>
    <w:p w14:paraId="02105A65" w14:textId="77777777" w:rsidR="002209B7" w:rsidRDefault="002209B7" w:rsidP="002209B7">
      <w:pPr>
        <w:pStyle w:val="NormalWeb"/>
        <w:shd w:val="clear" w:color="auto" w:fill="FFFFFF"/>
        <w:spacing w:before="0" w:beforeAutospacing="0"/>
        <w:rPr>
          <w:color w:val="1F1F1F"/>
        </w:rPr>
      </w:pPr>
      <w:r>
        <w:rPr>
          <w:color w:val="1F1F1F"/>
        </w:rPr>
        <w:lastRenderedPageBreak/>
        <w:t>After creating the container, we will create a new Synapse Pipeline to copy data from the OnlineUserProfile01 container to the new one.</w:t>
      </w:r>
    </w:p>
    <w:p w14:paraId="486888B1" w14:textId="77777777" w:rsidR="002209B7" w:rsidRDefault="002209B7" w:rsidP="002209B7">
      <w:pPr>
        <w:pStyle w:val="NormalWeb"/>
        <w:shd w:val="clear" w:color="auto" w:fill="FFFFFF"/>
        <w:spacing w:before="0" w:beforeAutospacing="0"/>
        <w:rPr>
          <w:color w:val="1F1F1F"/>
        </w:rPr>
      </w:pPr>
      <w:r>
        <w:rPr>
          <w:color w:val="1F1F1F"/>
        </w:rPr>
        <w:t>1. Select </w:t>
      </w:r>
      <w:r>
        <w:rPr>
          <w:rStyle w:val="Strong"/>
          <w:rFonts w:ascii="unset" w:eastAsiaTheme="majorEastAsia" w:hAnsi="unset"/>
          <w:color w:val="1F1F1F"/>
        </w:rPr>
        <w:t>Data Explorer</w:t>
      </w:r>
      <w:r>
        <w:rPr>
          <w:color w:val="1F1F1F"/>
        </w:rPr>
        <w:t> on the left-hand menu.</w:t>
      </w:r>
    </w:p>
    <w:p w14:paraId="6D50CA63" w14:textId="02C21C04" w:rsidR="002209B7" w:rsidRDefault="002209B7" w:rsidP="002209B7">
      <w:pPr>
        <w:shd w:val="clear" w:color="auto" w:fill="FFFFFF"/>
        <w:rPr>
          <w:rFonts w:ascii="Arial" w:hAnsi="Arial" w:cs="Arial"/>
          <w:color w:val="1F1F1F"/>
          <w:sz w:val="21"/>
          <w:szCs w:val="21"/>
        </w:rPr>
      </w:pPr>
      <w:r>
        <w:rPr>
          <w:rFonts w:ascii="Arial" w:hAnsi="Arial" w:cs="Arial"/>
          <w:noProof/>
          <w:color w:val="1F1F1F"/>
          <w:sz w:val="21"/>
          <w:szCs w:val="21"/>
        </w:rPr>
        <w:drawing>
          <wp:inline distT="0" distB="0" distL="0" distR="0" wp14:anchorId="5E1F5C35" wp14:editId="7FF2054B">
            <wp:extent cx="3476625" cy="5562600"/>
            <wp:effectExtent l="0" t="0" r="9525" b="0"/>
            <wp:docPr id="4" name="Picture 4" descr="Snippet of the Screenshot of the Synapse Analytics data hub interface with the Data Explorer button highligh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Snippet of the Screenshot of the Synapse Analytics data hub interface with the Data Explorer button highlighted"/>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476625" cy="5562600"/>
                    </a:xfrm>
                    <a:prstGeom prst="rect">
                      <a:avLst/>
                    </a:prstGeom>
                    <a:noFill/>
                    <a:ln>
                      <a:noFill/>
                    </a:ln>
                  </pic:spPr>
                </pic:pic>
              </a:graphicData>
            </a:graphic>
          </wp:inline>
        </w:drawing>
      </w:r>
    </w:p>
    <w:p w14:paraId="269D061A" w14:textId="77777777" w:rsidR="002209B7" w:rsidRPr="002209B7" w:rsidRDefault="002209B7" w:rsidP="002209B7">
      <w:pPr>
        <w:shd w:val="clear" w:color="auto" w:fill="FFFFFF"/>
        <w:spacing w:after="100" w:afterAutospacing="1" w:line="240" w:lineRule="auto"/>
        <w:rPr>
          <w:rFonts w:ascii="Times New Roman" w:eastAsia="Times New Roman" w:hAnsi="Times New Roman" w:cs="Times New Roman"/>
          <w:color w:val="1F1F1F"/>
          <w:kern w:val="0"/>
          <w:sz w:val="24"/>
          <w:szCs w:val="24"/>
          <w:lang w:eastAsia="en-IN"/>
          <w14:ligatures w14:val="none"/>
        </w:rPr>
      </w:pPr>
      <w:r w:rsidRPr="002209B7">
        <w:rPr>
          <w:rFonts w:ascii="Times New Roman" w:eastAsia="Times New Roman" w:hAnsi="Times New Roman" w:cs="Times New Roman"/>
          <w:color w:val="1F1F1F"/>
          <w:kern w:val="0"/>
          <w:sz w:val="24"/>
          <w:szCs w:val="24"/>
          <w:lang w:eastAsia="en-IN"/>
          <w14:ligatures w14:val="none"/>
        </w:rPr>
        <w:t>2. Select </w:t>
      </w:r>
      <w:r w:rsidRPr="002209B7">
        <w:rPr>
          <w:rFonts w:ascii="unset" w:eastAsia="Times New Roman" w:hAnsi="unset" w:cs="Times New Roman"/>
          <w:b/>
          <w:bCs/>
          <w:color w:val="1F1F1F"/>
          <w:kern w:val="0"/>
          <w:sz w:val="24"/>
          <w:szCs w:val="24"/>
          <w:lang w:eastAsia="en-IN"/>
          <w14:ligatures w14:val="none"/>
        </w:rPr>
        <w:t>New Container</w:t>
      </w:r>
      <w:r w:rsidRPr="002209B7">
        <w:rPr>
          <w:rFonts w:ascii="Times New Roman" w:eastAsia="Times New Roman" w:hAnsi="Times New Roman" w:cs="Times New Roman"/>
          <w:color w:val="1F1F1F"/>
          <w:kern w:val="0"/>
          <w:sz w:val="24"/>
          <w:szCs w:val="24"/>
          <w:lang w:eastAsia="en-IN"/>
          <w14:ligatures w14:val="none"/>
        </w:rPr>
        <w:t>.</w:t>
      </w:r>
    </w:p>
    <w:p w14:paraId="70FFE9FC" w14:textId="522F751C" w:rsidR="002209B7" w:rsidRPr="002209B7" w:rsidRDefault="002209B7" w:rsidP="002209B7">
      <w:pPr>
        <w:shd w:val="clear" w:color="auto" w:fill="FFFFFF"/>
        <w:spacing w:after="0" w:line="240" w:lineRule="auto"/>
        <w:rPr>
          <w:rFonts w:ascii="Arial" w:eastAsia="Times New Roman" w:hAnsi="Arial" w:cs="Arial"/>
          <w:color w:val="1F1F1F"/>
          <w:kern w:val="0"/>
          <w:sz w:val="21"/>
          <w:szCs w:val="21"/>
          <w:lang w:eastAsia="en-IN"/>
          <w14:ligatures w14:val="none"/>
        </w:rPr>
      </w:pPr>
      <w:r w:rsidRPr="002209B7">
        <w:rPr>
          <w:rFonts w:ascii="Arial" w:eastAsia="Times New Roman" w:hAnsi="Arial" w:cs="Arial"/>
          <w:noProof/>
          <w:color w:val="1F1F1F"/>
          <w:kern w:val="0"/>
          <w:sz w:val="21"/>
          <w:szCs w:val="21"/>
          <w:lang w:eastAsia="en-IN"/>
          <w14:ligatures w14:val="none"/>
        </w:rPr>
        <w:lastRenderedPageBreak/>
        <w:drawing>
          <wp:inline distT="0" distB="0" distL="0" distR="0" wp14:anchorId="718F6EDD" wp14:editId="384535D8">
            <wp:extent cx="2552700" cy="1962150"/>
            <wp:effectExtent l="0" t="0" r="0" b="0"/>
            <wp:docPr id="7" name="Picture 7" descr="Snippet of the Screenshot of the Synapse Analytics data hub interface with the New Container highligh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Snippet of the Screenshot of the Synapse Analytics data hub interface with the New Container highlighted"/>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552700" cy="1962150"/>
                    </a:xfrm>
                    <a:prstGeom prst="rect">
                      <a:avLst/>
                    </a:prstGeom>
                    <a:noFill/>
                    <a:ln>
                      <a:noFill/>
                    </a:ln>
                  </pic:spPr>
                </pic:pic>
              </a:graphicData>
            </a:graphic>
          </wp:inline>
        </w:drawing>
      </w:r>
    </w:p>
    <w:p w14:paraId="1ABF9580" w14:textId="115CD78B" w:rsidR="002209B7" w:rsidRDefault="002209B7" w:rsidP="002209B7">
      <w:pPr>
        <w:shd w:val="clear" w:color="auto" w:fill="FFFFFF"/>
        <w:spacing w:after="100" w:afterAutospacing="1" w:line="240" w:lineRule="auto"/>
        <w:rPr>
          <w:rFonts w:ascii="Times New Roman" w:eastAsia="Times New Roman" w:hAnsi="Times New Roman" w:cs="Times New Roman"/>
          <w:color w:val="1F1F1F"/>
          <w:kern w:val="0"/>
          <w:sz w:val="24"/>
          <w:szCs w:val="24"/>
          <w:lang w:eastAsia="en-IN"/>
          <w14:ligatures w14:val="none"/>
        </w:rPr>
      </w:pPr>
    </w:p>
    <w:p w14:paraId="6981362D" w14:textId="77777777" w:rsidR="002209B7" w:rsidRDefault="002209B7" w:rsidP="002209B7">
      <w:pPr>
        <w:shd w:val="clear" w:color="auto" w:fill="FFFFFF"/>
        <w:spacing w:after="100" w:afterAutospacing="1" w:line="240" w:lineRule="auto"/>
        <w:rPr>
          <w:rFonts w:ascii="Source Sans Pro" w:hAnsi="Source Sans Pro"/>
          <w:color w:val="1F1F1F"/>
          <w:shd w:val="clear" w:color="auto" w:fill="FFFFFF"/>
        </w:rPr>
      </w:pPr>
      <w:r>
        <w:rPr>
          <w:rFonts w:ascii="Source Sans Pro" w:hAnsi="Source Sans Pro"/>
          <w:color w:val="1F1F1F"/>
          <w:shd w:val="clear" w:color="auto" w:fill="FFFFFF"/>
        </w:rPr>
        <w:t>3. For </w:t>
      </w:r>
      <w:r>
        <w:rPr>
          <w:rStyle w:val="Strong"/>
          <w:rFonts w:ascii="unset" w:hAnsi="unset"/>
          <w:color w:val="1F1F1F"/>
          <w:shd w:val="clear" w:color="auto" w:fill="FFFFFF"/>
        </w:rPr>
        <w:t>Database ID</w:t>
      </w:r>
      <w:r>
        <w:rPr>
          <w:rFonts w:ascii="Source Sans Pro" w:hAnsi="Source Sans Pro"/>
          <w:color w:val="1F1F1F"/>
          <w:shd w:val="clear" w:color="auto" w:fill="FFFFFF"/>
        </w:rPr>
        <w:t>, select </w:t>
      </w:r>
      <w:r>
        <w:rPr>
          <w:rStyle w:val="Strong"/>
          <w:rFonts w:ascii="unset" w:hAnsi="unset"/>
          <w:color w:val="1F1F1F"/>
          <w:shd w:val="clear" w:color="auto" w:fill="FFFFFF"/>
        </w:rPr>
        <w:t>Use existing</w:t>
      </w:r>
      <w:r>
        <w:rPr>
          <w:rFonts w:ascii="Source Sans Pro" w:hAnsi="Source Sans Pro"/>
          <w:color w:val="1F1F1F"/>
          <w:shd w:val="clear" w:color="auto" w:fill="FFFFFF"/>
        </w:rPr>
        <w:t>, then select </w:t>
      </w:r>
      <w:proofErr w:type="spellStart"/>
      <w:r>
        <w:rPr>
          <w:rStyle w:val="Strong"/>
          <w:rFonts w:ascii="unset" w:hAnsi="unset"/>
          <w:color w:val="1F1F1F"/>
          <w:shd w:val="clear" w:color="auto" w:fill="FFFFFF"/>
        </w:rPr>
        <w:t>CustomerProfile</w:t>
      </w:r>
      <w:proofErr w:type="spellEnd"/>
      <w:r>
        <w:rPr>
          <w:rStyle w:val="Strong"/>
          <w:rFonts w:ascii="unset" w:hAnsi="unset"/>
          <w:color w:val="1F1F1F"/>
          <w:shd w:val="clear" w:color="auto" w:fill="FFFFFF"/>
        </w:rPr>
        <w:t xml:space="preserve"> (1)</w:t>
      </w:r>
      <w:r>
        <w:rPr>
          <w:rFonts w:ascii="Source Sans Pro" w:hAnsi="Source Sans Pro"/>
          <w:color w:val="1F1F1F"/>
          <w:shd w:val="clear" w:color="auto" w:fill="FFFFFF"/>
        </w:rPr>
        <w:t>. Enter </w:t>
      </w:r>
      <w:proofErr w:type="spellStart"/>
      <w:r>
        <w:rPr>
          <w:rStyle w:val="Strong"/>
          <w:rFonts w:ascii="unset" w:hAnsi="unset"/>
          <w:color w:val="1F1F1F"/>
          <w:shd w:val="clear" w:color="auto" w:fill="FFFFFF"/>
        </w:rPr>
        <w:t>UserProfileHTAP</w:t>
      </w:r>
      <w:proofErr w:type="spellEnd"/>
      <w:r>
        <w:rPr>
          <w:rFonts w:ascii="Source Sans Pro" w:hAnsi="Source Sans Pro"/>
          <w:color w:val="1F1F1F"/>
          <w:shd w:val="clear" w:color="auto" w:fill="FFFFFF"/>
        </w:rPr>
        <w:t> for the </w:t>
      </w:r>
      <w:r>
        <w:rPr>
          <w:rStyle w:val="Strong"/>
          <w:rFonts w:ascii="unset" w:hAnsi="unset"/>
          <w:color w:val="1F1F1F"/>
          <w:shd w:val="clear" w:color="auto" w:fill="FFFFFF"/>
        </w:rPr>
        <w:t>Container ID (2)</w:t>
      </w:r>
      <w:r>
        <w:rPr>
          <w:rFonts w:ascii="Source Sans Pro" w:hAnsi="Source Sans Pro"/>
          <w:color w:val="1F1F1F"/>
          <w:shd w:val="clear" w:color="auto" w:fill="FFFFFF"/>
        </w:rPr>
        <w:t>, then enter </w:t>
      </w:r>
      <w:r>
        <w:rPr>
          <w:rStyle w:val="Strong"/>
          <w:rFonts w:ascii="unset" w:hAnsi="unset"/>
          <w:color w:val="1F1F1F"/>
          <w:shd w:val="clear" w:color="auto" w:fill="FFFFFF"/>
        </w:rPr>
        <w:t>/</w:t>
      </w:r>
      <w:proofErr w:type="spellStart"/>
      <w:r>
        <w:rPr>
          <w:rStyle w:val="Strong"/>
          <w:rFonts w:ascii="unset" w:hAnsi="unset"/>
          <w:color w:val="1F1F1F"/>
          <w:shd w:val="clear" w:color="auto" w:fill="FFFFFF"/>
        </w:rPr>
        <w:t>userId</w:t>
      </w:r>
      <w:proofErr w:type="spellEnd"/>
      <w:r>
        <w:rPr>
          <w:rFonts w:ascii="Source Sans Pro" w:hAnsi="Source Sans Pro"/>
          <w:color w:val="1F1F1F"/>
          <w:shd w:val="clear" w:color="auto" w:fill="FFFFFF"/>
        </w:rPr>
        <w:t> for the </w:t>
      </w:r>
      <w:r>
        <w:rPr>
          <w:rStyle w:val="Strong"/>
          <w:rFonts w:ascii="unset" w:hAnsi="unset"/>
          <w:color w:val="1F1F1F"/>
          <w:shd w:val="clear" w:color="auto" w:fill="FFFFFF"/>
        </w:rPr>
        <w:t>Partition key (3)</w:t>
      </w:r>
      <w:r>
        <w:rPr>
          <w:rFonts w:ascii="Source Sans Pro" w:hAnsi="Source Sans Pro"/>
          <w:color w:val="1F1F1F"/>
          <w:shd w:val="clear" w:color="auto" w:fill="FFFFFF"/>
        </w:rPr>
        <w:t>. For </w:t>
      </w:r>
      <w:r>
        <w:rPr>
          <w:rStyle w:val="Strong"/>
          <w:rFonts w:ascii="unset" w:hAnsi="unset"/>
          <w:color w:val="1F1F1F"/>
          <w:shd w:val="clear" w:color="auto" w:fill="FFFFFF"/>
        </w:rPr>
        <w:t>Throughput</w:t>
      </w:r>
      <w:r>
        <w:rPr>
          <w:rFonts w:ascii="Source Sans Pro" w:hAnsi="Source Sans Pro"/>
          <w:color w:val="1F1F1F"/>
          <w:shd w:val="clear" w:color="auto" w:fill="FFFFFF"/>
        </w:rPr>
        <w:t>, select </w:t>
      </w:r>
      <w:proofErr w:type="spellStart"/>
      <w:r>
        <w:rPr>
          <w:rStyle w:val="Strong"/>
          <w:rFonts w:ascii="unset" w:hAnsi="unset"/>
          <w:color w:val="1F1F1F"/>
          <w:shd w:val="clear" w:color="auto" w:fill="FFFFFF"/>
        </w:rPr>
        <w:t>Autoscale</w:t>
      </w:r>
      <w:proofErr w:type="spellEnd"/>
      <w:r>
        <w:rPr>
          <w:rStyle w:val="Strong"/>
          <w:rFonts w:ascii="unset" w:hAnsi="unset"/>
          <w:color w:val="1F1F1F"/>
          <w:shd w:val="clear" w:color="auto" w:fill="FFFFFF"/>
        </w:rPr>
        <w:t xml:space="preserve"> (4)</w:t>
      </w:r>
      <w:r>
        <w:rPr>
          <w:rFonts w:ascii="Source Sans Pro" w:hAnsi="Source Sans Pro"/>
          <w:color w:val="1F1F1F"/>
          <w:shd w:val="clear" w:color="auto" w:fill="FFFFFF"/>
        </w:rPr>
        <w:t>, then enter </w:t>
      </w:r>
      <w:r>
        <w:rPr>
          <w:rStyle w:val="Strong"/>
          <w:rFonts w:ascii="unset" w:hAnsi="unset"/>
          <w:color w:val="1F1F1F"/>
          <w:shd w:val="clear" w:color="auto" w:fill="FFFFFF"/>
        </w:rPr>
        <w:t>4000</w:t>
      </w:r>
      <w:r>
        <w:rPr>
          <w:rFonts w:ascii="Source Sans Pro" w:hAnsi="Source Sans Pro"/>
          <w:color w:val="1F1F1F"/>
          <w:shd w:val="clear" w:color="auto" w:fill="FFFFFF"/>
        </w:rPr>
        <w:t> for the </w:t>
      </w:r>
      <w:r>
        <w:rPr>
          <w:rStyle w:val="Strong"/>
          <w:rFonts w:ascii="unset" w:hAnsi="unset"/>
          <w:color w:val="1F1F1F"/>
          <w:shd w:val="clear" w:color="auto" w:fill="FFFFFF"/>
        </w:rPr>
        <w:t>Max RU/s</w:t>
      </w:r>
      <w:r>
        <w:rPr>
          <w:rFonts w:ascii="Source Sans Pro" w:hAnsi="Source Sans Pro"/>
          <w:color w:val="1F1F1F"/>
          <w:shd w:val="clear" w:color="auto" w:fill="FFFFFF"/>
        </w:rPr>
        <w:t> value </w:t>
      </w:r>
      <w:r>
        <w:rPr>
          <w:rStyle w:val="Strong"/>
          <w:rFonts w:ascii="unset" w:hAnsi="unset"/>
          <w:color w:val="1F1F1F"/>
          <w:shd w:val="clear" w:color="auto" w:fill="FFFFFF"/>
        </w:rPr>
        <w:t>(5)</w:t>
      </w:r>
      <w:r>
        <w:rPr>
          <w:rFonts w:ascii="Source Sans Pro" w:hAnsi="Source Sans Pro"/>
          <w:color w:val="1F1F1F"/>
          <w:shd w:val="clear" w:color="auto" w:fill="FFFFFF"/>
        </w:rPr>
        <w:t xml:space="preserve">. Finally, </w:t>
      </w:r>
    </w:p>
    <w:p w14:paraId="0B992038" w14:textId="099D1026" w:rsidR="002209B7" w:rsidRDefault="002209B7" w:rsidP="002209B7">
      <w:pPr>
        <w:shd w:val="clear" w:color="auto" w:fill="FFFFFF"/>
        <w:spacing w:after="100" w:afterAutospacing="1" w:line="240" w:lineRule="auto"/>
        <w:rPr>
          <w:rFonts w:ascii="Source Sans Pro" w:hAnsi="Source Sans Pro"/>
          <w:color w:val="1F1F1F"/>
          <w:shd w:val="clear" w:color="auto" w:fill="FFFFFF"/>
        </w:rPr>
      </w:pPr>
      <w:r>
        <w:rPr>
          <w:rFonts w:ascii="Source Sans Pro" w:hAnsi="Source Sans Pro"/>
          <w:color w:val="1F1F1F"/>
          <w:shd w:val="clear" w:color="auto" w:fill="FFFFFF"/>
        </w:rPr>
        <w:t>set </w:t>
      </w:r>
      <w:r>
        <w:rPr>
          <w:rStyle w:val="Strong"/>
          <w:rFonts w:ascii="unset" w:hAnsi="unset"/>
          <w:color w:val="1F1F1F"/>
          <w:shd w:val="clear" w:color="auto" w:fill="FFFFFF"/>
        </w:rPr>
        <w:t>Analytical store</w:t>
      </w:r>
      <w:r>
        <w:rPr>
          <w:rFonts w:ascii="Source Sans Pro" w:hAnsi="Source Sans Pro"/>
          <w:color w:val="1F1F1F"/>
          <w:shd w:val="clear" w:color="auto" w:fill="FFFFFF"/>
        </w:rPr>
        <w:t> to </w:t>
      </w:r>
      <w:proofErr w:type="gramStart"/>
      <w:r>
        <w:rPr>
          <w:rStyle w:val="Strong"/>
          <w:rFonts w:ascii="unset" w:hAnsi="unset"/>
          <w:color w:val="1F1F1F"/>
          <w:shd w:val="clear" w:color="auto" w:fill="FFFFFF"/>
        </w:rPr>
        <w:t>On</w:t>
      </w:r>
      <w:proofErr w:type="gramEnd"/>
      <w:r>
        <w:rPr>
          <w:rStyle w:val="Strong"/>
          <w:rFonts w:ascii="unset" w:hAnsi="unset"/>
          <w:color w:val="1F1F1F"/>
          <w:shd w:val="clear" w:color="auto" w:fill="FFFFFF"/>
        </w:rPr>
        <w:t xml:space="preserve"> (6)</w:t>
      </w:r>
      <w:r>
        <w:rPr>
          <w:rFonts w:ascii="Source Sans Pro" w:hAnsi="Source Sans Pro"/>
          <w:color w:val="1F1F1F"/>
          <w:shd w:val="clear" w:color="auto" w:fill="FFFFFF"/>
        </w:rPr>
        <w:t>, then select </w:t>
      </w:r>
      <w:r>
        <w:rPr>
          <w:rStyle w:val="Strong"/>
          <w:rFonts w:ascii="unset" w:hAnsi="unset"/>
          <w:color w:val="1F1F1F"/>
          <w:shd w:val="clear" w:color="auto" w:fill="FFFFFF"/>
        </w:rPr>
        <w:t>OK</w:t>
      </w:r>
      <w:r>
        <w:rPr>
          <w:rFonts w:ascii="Source Sans Pro" w:hAnsi="Source Sans Pro"/>
          <w:color w:val="1F1F1F"/>
          <w:shd w:val="clear" w:color="auto" w:fill="FFFFFF"/>
        </w:rPr>
        <w:t>.</w:t>
      </w:r>
    </w:p>
    <w:p w14:paraId="10FDC47D" w14:textId="3995F49A" w:rsidR="002209B7" w:rsidRDefault="002209B7" w:rsidP="002209B7">
      <w:pPr>
        <w:shd w:val="clear" w:color="auto" w:fill="FFFFFF"/>
        <w:spacing w:after="100" w:afterAutospacing="1" w:line="240" w:lineRule="auto"/>
        <w:rPr>
          <w:rFonts w:ascii="Source Sans Pro" w:hAnsi="Source Sans Pro"/>
          <w:color w:val="1F1F1F"/>
          <w:shd w:val="clear" w:color="auto" w:fill="FFFFFF"/>
        </w:rPr>
      </w:pPr>
      <w:r>
        <w:rPr>
          <w:noProof/>
        </w:rPr>
        <w:lastRenderedPageBreak/>
        <w:drawing>
          <wp:inline distT="0" distB="0" distL="0" distR="0" wp14:anchorId="54051B44" wp14:editId="1B341F00">
            <wp:extent cx="5095875" cy="8858250"/>
            <wp:effectExtent l="0" t="0" r="9525" b="0"/>
            <wp:docPr id="8" name="Picture 8" descr="Screenshot of the Synapse Analytics data hub with the fields in the Add Container form highligh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Screenshot of the Synapse Analytics data hub with the fields in the Add Container form highlighted"/>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095875" cy="8858250"/>
                    </a:xfrm>
                    <a:prstGeom prst="rect">
                      <a:avLst/>
                    </a:prstGeom>
                    <a:noFill/>
                    <a:ln>
                      <a:noFill/>
                    </a:ln>
                  </pic:spPr>
                </pic:pic>
              </a:graphicData>
            </a:graphic>
          </wp:inline>
        </w:drawing>
      </w:r>
    </w:p>
    <w:p w14:paraId="42A94635" w14:textId="77777777" w:rsidR="002209B7" w:rsidRDefault="002209B7" w:rsidP="002209B7">
      <w:pPr>
        <w:pStyle w:val="NormalWeb"/>
        <w:shd w:val="clear" w:color="auto" w:fill="FFFFFF"/>
        <w:spacing w:before="0" w:beforeAutospacing="0"/>
        <w:rPr>
          <w:color w:val="1F1F1F"/>
        </w:rPr>
      </w:pPr>
      <w:r>
        <w:rPr>
          <w:color w:val="1F1F1F"/>
        </w:rPr>
        <w:lastRenderedPageBreak/>
        <w:t xml:space="preserve">Here we set the partition key value to </w:t>
      </w:r>
      <w:proofErr w:type="spellStart"/>
      <w:r>
        <w:rPr>
          <w:color w:val="1F1F1F"/>
        </w:rPr>
        <w:t>customerId</w:t>
      </w:r>
      <w:proofErr w:type="spellEnd"/>
      <w:r>
        <w:rPr>
          <w:color w:val="1F1F1F"/>
        </w:rPr>
        <w:t xml:space="preserve">, because it is a </w:t>
      </w:r>
      <w:proofErr w:type="gramStart"/>
      <w:r>
        <w:rPr>
          <w:color w:val="1F1F1F"/>
        </w:rPr>
        <w:t>field</w:t>
      </w:r>
      <w:proofErr w:type="gramEnd"/>
      <w:r>
        <w:rPr>
          <w:color w:val="1F1F1F"/>
        </w:rPr>
        <w:t xml:space="preserve"> we use most often in queries and contains a relatively high cardinality (number of unique values) for good partitioning performance. We set the throughput to </w:t>
      </w:r>
      <w:proofErr w:type="spellStart"/>
      <w:r>
        <w:rPr>
          <w:color w:val="1F1F1F"/>
        </w:rPr>
        <w:t>Autoscale</w:t>
      </w:r>
      <w:proofErr w:type="spellEnd"/>
      <w:r>
        <w:rPr>
          <w:color w:val="1F1F1F"/>
        </w:rPr>
        <w:t xml:space="preserve"> with a maximum value of 4,000 request units (RUs). This means that the container will have a minimum of 400 RUs allocated (10% of the maximum number</w:t>
      </w:r>
      <w:proofErr w:type="gramStart"/>
      <w:r>
        <w:rPr>
          <w:color w:val="1F1F1F"/>
        </w:rPr>
        <w:t>), and</w:t>
      </w:r>
      <w:proofErr w:type="gramEnd"/>
      <w:r>
        <w:rPr>
          <w:color w:val="1F1F1F"/>
        </w:rPr>
        <w:t xml:space="preserve"> will scale up to a maximum of 4,000 when the scale engine detects a high enough demand to warrant increasing the throughput. Finally, we enable the </w:t>
      </w:r>
      <w:r>
        <w:rPr>
          <w:rStyle w:val="Strong"/>
          <w:rFonts w:ascii="unset" w:eastAsiaTheme="majorEastAsia" w:hAnsi="unset"/>
          <w:color w:val="1F1F1F"/>
        </w:rPr>
        <w:t>analytical store</w:t>
      </w:r>
      <w:r>
        <w:rPr>
          <w:color w:val="1F1F1F"/>
        </w:rPr>
        <w:t> on the container, which allows us to take full advantage of the Hybrid Transactional/Analytical Processing (HTAP) architecture from within Synapse Analytics.</w:t>
      </w:r>
    </w:p>
    <w:p w14:paraId="72F7265C" w14:textId="77777777" w:rsidR="002209B7" w:rsidRDefault="002209B7" w:rsidP="002209B7">
      <w:pPr>
        <w:pStyle w:val="NormalWeb"/>
        <w:shd w:val="clear" w:color="auto" w:fill="FFFFFF"/>
        <w:spacing w:before="0" w:beforeAutospacing="0"/>
        <w:rPr>
          <w:color w:val="1F1F1F"/>
        </w:rPr>
      </w:pPr>
      <w:r>
        <w:rPr>
          <w:color w:val="1F1F1F"/>
        </w:rPr>
        <w:t>Let's take a quick look at the data we will copy over to the new container.</w:t>
      </w:r>
    </w:p>
    <w:p w14:paraId="75356FFA" w14:textId="77777777" w:rsidR="002209B7" w:rsidRPr="002209B7" w:rsidRDefault="002209B7" w:rsidP="002209B7">
      <w:pPr>
        <w:shd w:val="clear" w:color="auto" w:fill="FFFFFF"/>
        <w:spacing w:after="100" w:afterAutospacing="1" w:line="240" w:lineRule="auto"/>
        <w:rPr>
          <w:rFonts w:ascii="Times New Roman" w:eastAsia="Times New Roman" w:hAnsi="Times New Roman" w:cs="Times New Roman"/>
          <w:color w:val="1F1F1F"/>
          <w:kern w:val="0"/>
          <w:sz w:val="24"/>
          <w:szCs w:val="24"/>
          <w:lang w:eastAsia="en-IN"/>
          <w14:ligatures w14:val="none"/>
        </w:rPr>
      </w:pPr>
      <w:r w:rsidRPr="002209B7">
        <w:rPr>
          <w:rFonts w:ascii="Times New Roman" w:eastAsia="Times New Roman" w:hAnsi="Times New Roman" w:cs="Times New Roman"/>
          <w:color w:val="1F1F1F"/>
          <w:kern w:val="0"/>
          <w:sz w:val="24"/>
          <w:szCs w:val="24"/>
          <w:lang w:eastAsia="en-IN"/>
          <w14:ligatures w14:val="none"/>
        </w:rPr>
        <w:t>4. Expand the OnlineUserProfile01 container underneath the </w:t>
      </w:r>
      <w:proofErr w:type="spellStart"/>
      <w:r w:rsidRPr="002209B7">
        <w:rPr>
          <w:rFonts w:ascii="unset" w:eastAsia="Times New Roman" w:hAnsi="unset" w:cs="Times New Roman"/>
          <w:b/>
          <w:bCs/>
          <w:color w:val="1F1F1F"/>
          <w:kern w:val="0"/>
          <w:sz w:val="24"/>
          <w:szCs w:val="24"/>
          <w:lang w:eastAsia="en-IN"/>
          <w14:ligatures w14:val="none"/>
        </w:rPr>
        <w:t>CustomerProfile</w:t>
      </w:r>
      <w:proofErr w:type="spellEnd"/>
      <w:r w:rsidRPr="002209B7">
        <w:rPr>
          <w:rFonts w:ascii="Times New Roman" w:eastAsia="Times New Roman" w:hAnsi="Times New Roman" w:cs="Times New Roman"/>
          <w:color w:val="1F1F1F"/>
          <w:kern w:val="0"/>
          <w:sz w:val="24"/>
          <w:szCs w:val="24"/>
          <w:lang w:eastAsia="en-IN"/>
          <w14:ligatures w14:val="none"/>
        </w:rPr>
        <w:t> database, then select </w:t>
      </w:r>
      <w:r w:rsidRPr="002209B7">
        <w:rPr>
          <w:rFonts w:ascii="unset" w:eastAsia="Times New Roman" w:hAnsi="unset" w:cs="Times New Roman"/>
          <w:b/>
          <w:bCs/>
          <w:color w:val="1F1F1F"/>
          <w:kern w:val="0"/>
          <w:sz w:val="24"/>
          <w:szCs w:val="24"/>
          <w:lang w:eastAsia="en-IN"/>
          <w14:ligatures w14:val="none"/>
        </w:rPr>
        <w:t>Items (1)</w:t>
      </w:r>
      <w:r w:rsidRPr="002209B7">
        <w:rPr>
          <w:rFonts w:ascii="Times New Roman" w:eastAsia="Times New Roman" w:hAnsi="Times New Roman" w:cs="Times New Roman"/>
          <w:color w:val="1F1F1F"/>
          <w:kern w:val="0"/>
          <w:sz w:val="24"/>
          <w:szCs w:val="24"/>
          <w:lang w:eastAsia="en-IN"/>
          <w14:ligatures w14:val="none"/>
        </w:rPr>
        <w:t>. Select one of the documents </w:t>
      </w:r>
      <w:r w:rsidRPr="002209B7">
        <w:rPr>
          <w:rFonts w:ascii="unset" w:eastAsia="Times New Roman" w:hAnsi="unset" w:cs="Times New Roman"/>
          <w:b/>
          <w:bCs/>
          <w:color w:val="1F1F1F"/>
          <w:kern w:val="0"/>
          <w:sz w:val="24"/>
          <w:szCs w:val="24"/>
          <w:lang w:eastAsia="en-IN"/>
          <w14:ligatures w14:val="none"/>
        </w:rPr>
        <w:t>(2)</w:t>
      </w:r>
      <w:r w:rsidRPr="002209B7">
        <w:rPr>
          <w:rFonts w:ascii="Times New Roman" w:eastAsia="Times New Roman" w:hAnsi="Times New Roman" w:cs="Times New Roman"/>
          <w:color w:val="1F1F1F"/>
          <w:kern w:val="0"/>
          <w:sz w:val="24"/>
          <w:szCs w:val="24"/>
          <w:lang w:eastAsia="en-IN"/>
          <w14:ligatures w14:val="none"/>
        </w:rPr>
        <w:t> and view its contents </w:t>
      </w:r>
      <w:r w:rsidRPr="002209B7">
        <w:rPr>
          <w:rFonts w:ascii="unset" w:eastAsia="Times New Roman" w:hAnsi="unset" w:cs="Times New Roman"/>
          <w:b/>
          <w:bCs/>
          <w:color w:val="1F1F1F"/>
          <w:kern w:val="0"/>
          <w:sz w:val="24"/>
          <w:szCs w:val="24"/>
          <w:lang w:eastAsia="en-IN"/>
          <w14:ligatures w14:val="none"/>
        </w:rPr>
        <w:t>(3)</w:t>
      </w:r>
      <w:r w:rsidRPr="002209B7">
        <w:rPr>
          <w:rFonts w:ascii="Times New Roman" w:eastAsia="Times New Roman" w:hAnsi="Times New Roman" w:cs="Times New Roman"/>
          <w:color w:val="1F1F1F"/>
          <w:kern w:val="0"/>
          <w:sz w:val="24"/>
          <w:szCs w:val="24"/>
          <w:lang w:eastAsia="en-IN"/>
          <w14:ligatures w14:val="none"/>
        </w:rPr>
        <w:t>. The documents are stored in JSON format.</w:t>
      </w:r>
    </w:p>
    <w:p w14:paraId="1E15C96D" w14:textId="516A048C" w:rsidR="002209B7" w:rsidRPr="002209B7" w:rsidRDefault="002209B7" w:rsidP="002209B7">
      <w:pPr>
        <w:shd w:val="clear" w:color="auto" w:fill="FFFFFF"/>
        <w:spacing w:after="0" w:line="240" w:lineRule="auto"/>
        <w:rPr>
          <w:rFonts w:ascii="Arial" w:eastAsia="Times New Roman" w:hAnsi="Arial" w:cs="Arial"/>
          <w:color w:val="1F1F1F"/>
          <w:kern w:val="0"/>
          <w:sz w:val="21"/>
          <w:szCs w:val="21"/>
          <w:lang w:eastAsia="en-IN"/>
          <w14:ligatures w14:val="none"/>
        </w:rPr>
      </w:pPr>
      <w:r w:rsidRPr="002209B7">
        <w:rPr>
          <w:rFonts w:ascii="Arial" w:eastAsia="Times New Roman" w:hAnsi="Arial" w:cs="Arial"/>
          <w:noProof/>
          <w:color w:val="1F1F1F"/>
          <w:kern w:val="0"/>
          <w:sz w:val="21"/>
          <w:szCs w:val="21"/>
          <w:lang w:eastAsia="en-IN"/>
          <w14:ligatures w14:val="none"/>
        </w:rPr>
        <w:drawing>
          <wp:inline distT="0" distB="0" distL="0" distR="0" wp14:anchorId="53A4D2BD" wp14:editId="166C3CED">
            <wp:extent cx="5731510" cy="3084195"/>
            <wp:effectExtent l="0" t="0" r="2540" b="1905"/>
            <wp:docPr id="9" name="Picture 9" descr="Screenshot of the Synapse Analytics data hub with view containers  highligh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Screenshot of the Synapse Analytics data hub with view containers  highlighted"/>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31510" cy="3084195"/>
                    </a:xfrm>
                    <a:prstGeom prst="rect">
                      <a:avLst/>
                    </a:prstGeom>
                    <a:noFill/>
                    <a:ln>
                      <a:noFill/>
                    </a:ln>
                  </pic:spPr>
                </pic:pic>
              </a:graphicData>
            </a:graphic>
          </wp:inline>
        </w:drawing>
      </w:r>
    </w:p>
    <w:p w14:paraId="6A104131" w14:textId="77777777" w:rsidR="002209B7" w:rsidRDefault="002209B7" w:rsidP="002209B7">
      <w:pPr>
        <w:pStyle w:val="NormalWeb"/>
        <w:shd w:val="clear" w:color="auto" w:fill="FFFFFF"/>
        <w:spacing w:before="0" w:beforeAutospacing="0"/>
        <w:rPr>
          <w:color w:val="1F1F1F"/>
        </w:rPr>
      </w:pPr>
    </w:p>
    <w:p w14:paraId="19620E40" w14:textId="2A8BE9E0" w:rsidR="002209B7" w:rsidRDefault="002209B7" w:rsidP="002209B7">
      <w:pPr>
        <w:pStyle w:val="NormalWeb"/>
        <w:shd w:val="clear" w:color="auto" w:fill="FFFFFF"/>
        <w:spacing w:before="0" w:beforeAutospacing="0"/>
        <w:rPr>
          <w:color w:val="1F1F1F"/>
        </w:rPr>
      </w:pPr>
      <w:r>
        <w:rPr>
          <w:rFonts w:ascii="Source Sans Pro" w:hAnsi="Source Sans Pro"/>
          <w:color w:val="1F1F1F"/>
          <w:shd w:val="clear" w:color="auto" w:fill="FFFFFF"/>
        </w:rPr>
        <w:t xml:space="preserve">With Azure Synapse Link enabled, and the analytical store provision, you are then able to query the analytical store directly from Azure Synapse </w:t>
      </w:r>
      <w:proofErr w:type="gramStart"/>
      <w:r>
        <w:rPr>
          <w:rFonts w:ascii="Source Sans Pro" w:hAnsi="Source Sans Pro"/>
          <w:color w:val="1F1F1F"/>
          <w:shd w:val="clear" w:color="auto" w:fill="FFFFFF"/>
        </w:rPr>
        <w:t>Analytics, or</w:t>
      </w:r>
      <w:proofErr w:type="gramEnd"/>
      <w:r>
        <w:rPr>
          <w:rFonts w:ascii="Source Sans Pro" w:hAnsi="Source Sans Pro"/>
          <w:color w:val="1F1F1F"/>
          <w:shd w:val="clear" w:color="auto" w:fill="FFFFFF"/>
        </w:rPr>
        <w:t xml:space="preserve"> create a pipeline to copy the contents of the analytical store.</w:t>
      </w:r>
    </w:p>
    <w:p w14:paraId="0EE0677D" w14:textId="77777777" w:rsidR="002209B7" w:rsidRDefault="002209B7" w:rsidP="002209B7">
      <w:pPr>
        <w:shd w:val="clear" w:color="auto" w:fill="FFFFFF"/>
        <w:spacing w:after="100" w:afterAutospacing="1" w:line="240" w:lineRule="auto"/>
        <w:rPr>
          <w:rFonts w:ascii="Source Sans Pro" w:hAnsi="Source Sans Pro"/>
          <w:color w:val="1F1F1F"/>
          <w:shd w:val="clear" w:color="auto" w:fill="FFFFFF"/>
        </w:rPr>
      </w:pPr>
    </w:p>
    <w:p w14:paraId="1C9C5030" w14:textId="77777777" w:rsidR="002209B7" w:rsidRDefault="002209B7" w:rsidP="002209B7">
      <w:pPr>
        <w:shd w:val="clear" w:color="auto" w:fill="FFFFFF"/>
        <w:spacing w:after="100" w:afterAutospacing="1" w:line="240" w:lineRule="auto"/>
        <w:rPr>
          <w:rFonts w:ascii="Source Sans Pro" w:hAnsi="Source Sans Pro"/>
          <w:color w:val="1F1F1F"/>
          <w:shd w:val="clear" w:color="auto" w:fill="FFFFFF"/>
        </w:rPr>
      </w:pPr>
    </w:p>
    <w:p w14:paraId="72462F9A" w14:textId="77777777" w:rsidR="002209B7" w:rsidRDefault="002209B7" w:rsidP="002209B7">
      <w:pPr>
        <w:shd w:val="clear" w:color="auto" w:fill="FFFFFF"/>
        <w:spacing w:after="100" w:afterAutospacing="1" w:line="240" w:lineRule="auto"/>
        <w:rPr>
          <w:rFonts w:ascii="Times New Roman" w:eastAsia="Times New Roman" w:hAnsi="Times New Roman" w:cs="Times New Roman"/>
          <w:color w:val="1F1F1F"/>
          <w:kern w:val="0"/>
          <w:sz w:val="24"/>
          <w:szCs w:val="24"/>
          <w:lang w:eastAsia="en-IN"/>
          <w14:ligatures w14:val="none"/>
        </w:rPr>
      </w:pPr>
    </w:p>
    <w:p w14:paraId="1E1C224E" w14:textId="77777777" w:rsidR="002209B7" w:rsidRPr="002209B7" w:rsidRDefault="002209B7" w:rsidP="002209B7">
      <w:pPr>
        <w:shd w:val="clear" w:color="auto" w:fill="FFFFFF"/>
        <w:spacing w:after="100" w:afterAutospacing="1" w:line="240" w:lineRule="auto"/>
        <w:rPr>
          <w:rFonts w:ascii="Times New Roman" w:eastAsia="Times New Roman" w:hAnsi="Times New Roman" w:cs="Times New Roman"/>
          <w:color w:val="1F1F1F"/>
          <w:kern w:val="0"/>
          <w:sz w:val="24"/>
          <w:szCs w:val="24"/>
          <w:lang w:eastAsia="en-IN"/>
          <w14:ligatures w14:val="none"/>
        </w:rPr>
      </w:pPr>
    </w:p>
    <w:p w14:paraId="42D70E11" w14:textId="5497F0F8" w:rsidR="002209B7" w:rsidRPr="002209B7" w:rsidRDefault="002209B7" w:rsidP="002209B7">
      <w:pPr>
        <w:shd w:val="clear" w:color="auto" w:fill="FFFFFF"/>
        <w:spacing w:after="0" w:line="240" w:lineRule="auto"/>
        <w:rPr>
          <w:rFonts w:ascii="Arial" w:eastAsia="Times New Roman" w:hAnsi="Arial" w:cs="Arial"/>
          <w:color w:val="1F1F1F"/>
          <w:kern w:val="0"/>
          <w:sz w:val="21"/>
          <w:szCs w:val="21"/>
          <w:lang w:eastAsia="en-IN"/>
          <w14:ligatures w14:val="none"/>
        </w:rPr>
      </w:pPr>
    </w:p>
    <w:p w14:paraId="2911CA97" w14:textId="77777777" w:rsidR="002209B7" w:rsidRDefault="002209B7"/>
    <w:sectPr w:rsidR="002209B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unset">
    <w:altName w:val="Cambria"/>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Source Sans Pro">
    <w:charset w:val="00"/>
    <w:family w:val="swiss"/>
    <w:pitch w:val="variable"/>
    <w:sig w:usb0="600002F7" w:usb1="02000001"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209B7"/>
    <w:rsid w:val="002209B7"/>
    <w:rsid w:val="00786DBF"/>
    <w:rsid w:val="00D5088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6D2B86"/>
  <w15:chartTrackingRefBased/>
  <w15:docId w15:val="{AB089A36-09AD-4CF7-A1BF-8B0FEC2272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2209B7"/>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14:ligatures w14:val="none"/>
    </w:rPr>
  </w:style>
  <w:style w:type="paragraph" w:styleId="Heading2">
    <w:name w:val="heading 2"/>
    <w:basedOn w:val="Normal"/>
    <w:next w:val="Normal"/>
    <w:link w:val="Heading2Char"/>
    <w:uiPriority w:val="9"/>
    <w:semiHidden/>
    <w:unhideWhenUsed/>
    <w:qFormat/>
    <w:rsid w:val="002209B7"/>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209B7"/>
    <w:rPr>
      <w:rFonts w:ascii="Times New Roman" w:eastAsia="Times New Roman" w:hAnsi="Times New Roman" w:cs="Times New Roman"/>
      <w:b/>
      <w:bCs/>
      <w:kern w:val="36"/>
      <w:sz w:val="48"/>
      <w:szCs w:val="48"/>
      <w:lang w:eastAsia="en-IN"/>
      <w14:ligatures w14:val="none"/>
    </w:rPr>
  </w:style>
  <w:style w:type="paragraph" w:styleId="NormalWeb">
    <w:name w:val="Normal (Web)"/>
    <w:basedOn w:val="Normal"/>
    <w:uiPriority w:val="99"/>
    <w:semiHidden/>
    <w:unhideWhenUsed/>
    <w:rsid w:val="002209B7"/>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customStyle="1" w:styleId="Heading2Char">
    <w:name w:val="Heading 2 Char"/>
    <w:basedOn w:val="DefaultParagraphFont"/>
    <w:link w:val="Heading2"/>
    <w:uiPriority w:val="9"/>
    <w:semiHidden/>
    <w:rsid w:val="002209B7"/>
    <w:rPr>
      <w:rFonts w:asciiTheme="majorHAnsi" w:eastAsiaTheme="majorEastAsia" w:hAnsiTheme="majorHAnsi" w:cstheme="majorBidi"/>
      <w:color w:val="2F5496" w:themeColor="accent1" w:themeShade="BF"/>
      <w:sz w:val="26"/>
      <w:szCs w:val="26"/>
    </w:rPr>
  </w:style>
  <w:style w:type="character" w:styleId="Strong">
    <w:name w:val="Strong"/>
    <w:basedOn w:val="DefaultParagraphFont"/>
    <w:uiPriority w:val="22"/>
    <w:qFormat/>
    <w:rsid w:val="002209B7"/>
    <w:rPr>
      <w:b/>
      <w:bCs/>
    </w:rPr>
  </w:style>
  <w:style w:type="character" w:styleId="Hyperlink">
    <w:name w:val="Hyperlink"/>
    <w:basedOn w:val="DefaultParagraphFont"/>
    <w:uiPriority w:val="99"/>
    <w:semiHidden/>
    <w:unhideWhenUsed/>
    <w:rsid w:val="002209B7"/>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2464103">
      <w:bodyDiv w:val="1"/>
      <w:marLeft w:val="0"/>
      <w:marRight w:val="0"/>
      <w:marTop w:val="0"/>
      <w:marBottom w:val="0"/>
      <w:divBdr>
        <w:top w:val="none" w:sz="0" w:space="0" w:color="auto"/>
        <w:left w:val="none" w:sz="0" w:space="0" w:color="auto"/>
        <w:bottom w:val="none" w:sz="0" w:space="0" w:color="auto"/>
        <w:right w:val="none" w:sz="0" w:space="0" w:color="auto"/>
      </w:divBdr>
      <w:divsChild>
        <w:div w:id="1856920422">
          <w:marLeft w:val="0"/>
          <w:marRight w:val="0"/>
          <w:marTop w:val="0"/>
          <w:marBottom w:val="0"/>
          <w:divBdr>
            <w:top w:val="none" w:sz="0" w:space="0" w:color="auto"/>
            <w:left w:val="none" w:sz="0" w:space="0" w:color="auto"/>
            <w:bottom w:val="none" w:sz="0" w:space="0" w:color="auto"/>
            <w:right w:val="none" w:sz="0" w:space="0" w:color="auto"/>
          </w:divBdr>
        </w:div>
      </w:divsChild>
    </w:div>
    <w:div w:id="244805027">
      <w:bodyDiv w:val="1"/>
      <w:marLeft w:val="0"/>
      <w:marRight w:val="0"/>
      <w:marTop w:val="0"/>
      <w:marBottom w:val="0"/>
      <w:divBdr>
        <w:top w:val="none" w:sz="0" w:space="0" w:color="auto"/>
        <w:left w:val="none" w:sz="0" w:space="0" w:color="auto"/>
        <w:bottom w:val="none" w:sz="0" w:space="0" w:color="auto"/>
        <w:right w:val="none" w:sz="0" w:space="0" w:color="auto"/>
      </w:divBdr>
      <w:divsChild>
        <w:div w:id="1781561816">
          <w:marLeft w:val="0"/>
          <w:marRight w:val="0"/>
          <w:marTop w:val="0"/>
          <w:marBottom w:val="0"/>
          <w:divBdr>
            <w:top w:val="none" w:sz="0" w:space="0" w:color="auto"/>
            <w:left w:val="none" w:sz="0" w:space="0" w:color="auto"/>
            <w:bottom w:val="none" w:sz="0" w:space="0" w:color="auto"/>
            <w:right w:val="none" w:sz="0" w:space="0" w:color="auto"/>
          </w:divBdr>
        </w:div>
      </w:divsChild>
    </w:div>
    <w:div w:id="302079782">
      <w:bodyDiv w:val="1"/>
      <w:marLeft w:val="0"/>
      <w:marRight w:val="0"/>
      <w:marTop w:val="0"/>
      <w:marBottom w:val="0"/>
      <w:divBdr>
        <w:top w:val="none" w:sz="0" w:space="0" w:color="auto"/>
        <w:left w:val="none" w:sz="0" w:space="0" w:color="auto"/>
        <w:bottom w:val="none" w:sz="0" w:space="0" w:color="auto"/>
        <w:right w:val="none" w:sz="0" w:space="0" w:color="auto"/>
      </w:divBdr>
      <w:divsChild>
        <w:div w:id="1526406967">
          <w:marLeft w:val="0"/>
          <w:marRight w:val="0"/>
          <w:marTop w:val="0"/>
          <w:marBottom w:val="0"/>
          <w:divBdr>
            <w:top w:val="none" w:sz="0" w:space="0" w:color="auto"/>
            <w:left w:val="none" w:sz="0" w:space="0" w:color="auto"/>
            <w:bottom w:val="none" w:sz="0" w:space="0" w:color="auto"/>
            <w:right w:val="none" w:sz="0" w:space="0" w:color="auto"/>
          </w:divBdr>
        </w:div>
      </w:divsChild>
    </w:div>
    <w:div w:id="717508728">
      <w:bodyDiv w:val="1"/>
      <w:marLeft w:val="0"/>
      <w:marRight w:val="0"/>
      <w:marTop w:val="0"/>
      <w:marBottom w:val="0"/>
      <w:divBdr>
        <w:top w:val="none" w:sz="0" w:space="0" w:color="auto"/>
        <w:left w:val="none" w:sz="0" w:space="0" w:color="auto"/>
        <w:bottom w:val="none" w:sz="0" w:space="0" w:color="auto"/>
        <w:right w:val="none" w:sz="0" w:space="0" w:color="auto"/>
      </w:divBdr>
    </w:div>
    <w:div w:id="1112475654">
      <w:bodyDiv w:val="1"/>
      <w:marLeft w:val="0"/>
      <w:marRight w:val="0"/>
      <w:marTop w:val="0"/>
      <w:marBottom w:val="0"/>
      <w:divBdr>
        <w:top w:val="none" w:sz="0" w:space="0" w:color="auto"/>
        <w:left w:val="none" w:sz="0" w:space="0" w:color="auto"/>
        <w:bottom w:val="none" w:sz="0" w:space="0" w:color="auto"/>
        <w:right w:val="none" w:sz="0" w:space="0" w:color="auto"/>
      </w:divBdr>
      <w:divsChild>
        <w:div w:id="644553792">
          <w:marLeft w:val="0"/>
          <w:marRight w:val="0"/>
          <w:marTop w:val="0"/>
          <w:marBottom w:val="0"/>
          <w:divBdr>
            <w:top w:val="none" w:sz="0" w:space="0" w:color="auto"/>
            <w:left w:val="none" w:sz="0" w:space="0" w:color="auto"/>
            <w:bottom w:val="none" w:sz="0" w:space="0" w:color="auto"/>
            <w:right w:val="none" w:sz="0" w:space="0" w:color="auto"/>
          </w:divBdr>
        </w:div>
      </w:divsChild>
    </w:div>
    <w:div w:id="1156148096">
      <w:bodyDiv w:val="1"/>
      <w:marLeft w:val="0"/>
      <w:marRight w:val="0"/>
      <w:marTop w:val="0"/>
      <w:marBottom w:val="0"/>
      <w:divBdr>
        <w:top w:val="none" w:sz="0" w:space="0" w:color="auto"/>
        <w:left w:val="none" w:sz="0" w:space="0" w:color="auto"/>
        <w:bottom w:val="none" w:sz="0" w:space="0" w:color="auto"/>
        <w:right w:val="none" w:sz="0" w:space="0" w:color="auto"/>
      </w:divBdr>
      <w:divsChild>
        <w:div w:id="807360403">
          <w:marLeft w:val="0"/>
          <w:marRight w:val="0"/>
          <w:marTop w:val="0"/>
          <w:marBottom w:val="0"/>
          <w:divBdr>
            <w:top w:val="none" w:sz="0" w:space="0" w:color="auto"/>
            <w:left w:val="none" w:sz="0" w:space="0" w:color="auto"/>
            <w:bottom w:val="none" w:sz="0" w:space="0" w:color="auto"/>
            <w:right w:val="none" w:sz="0" w:space="0" w:color="auto"/>
          </w:divBdr>
        </w:div>
      </w:divsChild>
    </w:div>
    <w:div w:id="1345204845">
      <w:bodyDiv w:val="1"/>
      <w:marLeft w:val="0"/>
      <w:marRight w:val="0"/>
      <w:marTop w:val="0"/>
      <w:marBottom w:val="0"/>
      <w:divBdr>
        <w:top w:val="none" w:sz="0" w:space="0" w:color="auto"/>
        <w:left w:val="none" w:sz="0" w:space="0" w:color="auto"/>
        <w:bottom w:val="none" w:sz="0" w:space="0" w:color="auto"/>
        <w:right w:val="none" w:sz="0" w:space="0" w:color="auto"/>
      </w:divBdr>
    </w:div>
    <w:div w:id="1671062563">
      <w:bodyDiv w:val="1"/>
      <w:marLeft w:val="0"/>
      <w:marRight w:val="0"/>
      <w:marTop w:val="0"/>
      <w:marBottom w:val="0"/>
      <w:divBdr>
        <w:top w:val="none" w:sz="0" w:space="0" w:color="auto"/>
        <w:left w:val="none" w:sz="0" w:space="0" w:color="auto"/>
        <w:bottom w:val="none" w:sz="0" w:space="0" w:color="auto"/>
        <w:right w:val="none" w:sz="0" w:space="0" w:color="auto"/>
      </w:divBdr>
      <w:divsChild>
        <w:div w:id="950283390">
          <w:marLeft w:val="0"/>
          <w:marRight w:val="0"/>
          <w:marTop w:val="0"/>
          <w:marBottom w:val="0"/>
          <w:divBdr>
            <w:top w:val="none" w:sz="0" w:space="0" w:color="auto"/>
            <w:left w:val="none" w:sz="0" w:space="0" w:color="auto"/>
            <w:bottom w:val="none" w:sz="0" w:space="0" w:color="auto"/>
            <w:right w:val="none" w:sz="0" w:space="0" w:color="auto"/>
          </w:divBdr>
        </w:div>
      </w:divsChild>
    </w:div>
    <w:div w:id="1915428825">
      <w:bodyDiv w:val="1"/>
      <w:marLeft w:val="0"/>
      <w:marRight w:val="0"/>
      <w:marTop w:val="0"/>
      <w:marBottom w:val="0"/>
      <w:divBdr>
        <w:top w:val="none" w:sz="0" w:space="0" w:color="auto"/>
        <w:left w:val="none" w:sz="0" w:space="0" w:color="auto"/>
        <w:bottom w:val="none" w:sz="0" w:space="0" w:color="auto"/>
        <w:right w:val="none" w:sz="0" w:space="0" w:color="auto"/>
      </w:divBdr>
    </w:div>
    <w:div w:id="2038658955">
      <w:bodyDiv w:val="1"/>
      <w:marLeft w:val="0"/>
      <w:marRight w:val="0"/>
      <w:marTop w:val="0"/>
      <w:marBottom w:val="0"/>
      <w:divBdr>
        <w:top w:val="none" w:sz="0" w:space="0" w:color="auto"/>
        <w:left w:val="none" w:sz="0" w:space="0" w:color="auto"/>
        <w:bottom w:val="none" w:sz="0" w:space="0" w:color="auto"/>
        <w:right w:val="none" w:sz="0" w:space="0" w:color="auto"/>
      </w:divBdr>
      <w:divsChild>
        <w:div w:id="105874989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hyperlink" Target="https://portal.azure.com/" TargetMode="Externa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6</Pages>
  <Words>792</Words>
  <Characters>4516</Characters>
  <Application>Microsoft Office Word</Application>
  <DocSecurity>0</DocSecurity>
  <Lines>37</Lines>
  <Paragraphs>10</Paragraphs>
  <ScaleCrop>false</ScaleCrop>
  <Company>Capgemini</Company>
  <LinksUpToDate>false</LinksUpToDate>
  <CharactersWithSpaces>5298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Banerjee, Samir</dc:creator>
  <cp:keywords/>
  <dc:description/>
  <cp:lastModifiedBy>Banerjee, Samir</cp:lastModifiedBy>
  <cp:revision>1</cp:revision>
  <dcterms:created xsi:type="dcterms:W3CDTF">2024-04-08T06:33:00Z</dcterms:created>
  <dcterms:modified xsi:type="dcterms:W3CDTF">2024-04-08T06:41:00Z</dcterms:modified>
</cp:coreProperties>
</file>