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AEM Interview Questions – Complete Answers</w:t>
      </w:r>
    </w:p>
    <w:p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 xml:space="preserve">Adobe Experience Manager – 49 Questions Covered</w:t>
      </w:r>
    </w:p>
    <w:p>
      <w:pPr>
        <w:pStyle w:val="Heading1"/>
        <w:spacing w:after="180" w:before="360"/>
      </w:pPr>
      <w:r>
        <w:t xml:space="preserve">Section A – Questions from your notebook (25)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Q1. AEM 6.5 vs AEM as a Cloud Service (AEMaaCS)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Hosting: </w:t>
      </w:r>
      <w:r>
        <w:t xml:space="preserve">AEM 6.5 is on-prem / IaaS. AEMaaCS is fully managed by Adobe on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Versioning: </w:t>
      </w:r>
      <w:r>
        <w:t xml:space="preserve">6.5 has fixed releases &amp; service packs. AEMaaCS is always up-to-date (continuous delivery).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Author/Publish: </w:t>
      </w:r>
      <w:r>
        <w:t xml:space="preserve">6.5 has fixed instances. AEMaaCS uses auto-scaling, ephemeral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deployment: </w:t>
      </w:r>
      <w:r>
        <w:t xml:space="preserve">6.5 uses CRX Package Manager / Maven build. AEMaaCS uses Cloud Manager pipelines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Dispatcher: </w:t>
      </w:r>
      <w:r>
        <w:t xml:space="preserve">6.5 uses traditional config. AEMaaCS uses Dispatcher SDK with stricter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Assets: </w:t>
      </w:r>
      <w:r>
        <w:t xml:space="preserve">6.5 uses on-prem DAM. AEMaaCS uses Asset microservices (cloud processing).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Customization: </w:t>
      </w:r>
      <w:r>
        <w:t xml:space="preserve">6.5 allows OSGi runtime config changes. AEMaaCS only allows config via /apps (immutable).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Repository: </w:t>
      </w:r>
      <w:r>
        <w:t xml:space="preserve">6.5 has /apps and /content writable. AEMaaCS – /apps is immutable, only /content &amp; /conf are mutable.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Q2. How to create a component in AEM</w:t>
      </w:r>
    </w:p>
    <w:p>
      <w:pPr>
        <w:spacing w:after="120"/>
      </w:pPr>
      <w: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CRXDE Lite, navigate to /apps/&lt;project&gt;/components.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→ Create → Create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Label, Title, Group, Super Type (e.g., core/wcm/components/text/v2/text).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creates a node of type cq:Component with a .html (HTL) file of the same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cq:dialog (nt:unstructured, sling:resourceType=cq/gui/components/authoring/dialog) for authoring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add Sling Model (Java class with @Model annotation) to expose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component to allowed components list of the template policy so authors can drop it on a page.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Q3. Main features of AEM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Management System (WCM) – author once, publish anywhere.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Asset Management (DAM) – central repository for images, videos, 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Multi-Site Manager (MSM) – manage multiple sites with shared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Workflows – automated content approval / processing.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Personalization &amp; Targeting (with Adobe Target).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 framework for multilingual sites.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 Fragments and Content Fragments for headless / omnichannel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the Adobe Experience Cloud (Analytics, Campaign, Target).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Q4. Why AEM is used</w:t>
      </w:r>
    </w:p>
    <w:p>
      <w:pPr>
        <w:spacing w:after="120"/>
      </w:pPr>
      <w:r>
        <w:t xml:space="preserve">AEM is used because it provides an enterprise platform that unifies content creation, asset management, personalization and delivery. Key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platform to build, manage and deliver web content and assets.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versioning, workflow and rollback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multi-site, multi-language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Tight integration with Adobe Marketing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Robust permission model with users / groups / ACLs.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Headless and hybrid delivery via Content Fragments and GraphQL APIs.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Q5. Difference between AEM Author and Publish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Author: </w:t>
      </w:r>
      <w:r>
        <w:t xml:space="preserve">Used by content authors to create, edit, review content. Has authoring UI, workflows, sidekick. Usually inside corporate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Publish: </w:t>
      </w:r>
      <w:r>
        <w:t xml:space="preserve">Serves content to end users. Read-optimized, no authoring UI. Sits in DMZ behind dispatcher.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Replication: </w:t>
      </w:r>
      <w:r>
        <w:t xml:space="preserve">Content is moved from Author → Publish via replication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Ports: </w:t>
      </w:r>
      <w:r>
        <w:t xml:space="preserve">Default Author 4502, Publish 4503.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Q6. JCR (Java Content Repository)</w:t>
      </w:r>
    </w:p>
    <w:p>
      <w:pPr>
        <w:spacing w:after="120"/>
      </w:pPr>
      <w:r>
        <w:t xml:space="preserve">JCR is a Java specification (JSR-170/283) defining a standard API to access content repositories. AEM uses Apache Jackrabbit Oak as its JCR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Hierarchical / tree-based storage (everything is a node).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versioning, observation, search (XPath, JCR-SQL2), transactions, locking, ACLs.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node has a primary node type (cq:Page, nt:unstructured, etc.) and properties.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Accessed in AEM via Session, Node, Property, Resource (Sling abstraction).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Q7. Where is content stored? → under /apps?</w:t>
      </w:r>
    </w:p>
    <w:p>
      <w:pPr>
        <w:spacing w:after="120"/>
      </w:pPr>
      <w:r>
        <w:t xml:space="preserve">Common misconception. The correct mapping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/content: </w:t>
      </w:r>
      <w:r>
        <w:t xml:space="preserve">Actual page content authored by users (this is where pages live).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/content/dam: </w:t>
      </w:r>
      <w:r>
        <w:t xml:space="preserve">Digital assets (images, videos, PDFs).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/apps: </w:t>
      </w:r>
      <w:r>
        <w:t xml:space="preserve">Project code – components, templates, clientlibs, configs (immutable in AEMaaCS).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/libs: </w:t>
      </w:r>
      <w:r>
        <w:t xml:space="preserve">Adobe-provided code – never modify, only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/conf: </w:t>
      </w:r>
      <w:r>
        <w:t xml:space="preserve">Editable templates, policies, context-aware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/etc: </w:t>
      </w:r>
      <w:r>
        <w:t xml:space="preserve">Legacy configurations (mostly deprecated, moved to /conf and /apps).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/var: </w:t>
      </w:r>
      <w:r>
        <w:t xml:space="preserve">Runtime data – workflows, audit logs.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Q8. Editable Template</w:t>
      </w:r>
    </w:p>
    <w:p>
      <w:pPr>
        <w:spacing w:after="120"/>
      </w:pPr>
      <w:r>
        <w:t xml:space="preserve">An editable template (introduced in AEM 6.2) allows authors to define the structure, initial content, layout and policies of pages through the UI – no developer intervention needed for layout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Lives under /conf/&lt;project&gt;/settings/wcm/templates/.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modes: Structure, Initial Content,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 to a page through cq:template property.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Maintains live connection – changes to structure are inherited by existing pages.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Q9. What components are fixed in editable templates? (Header / Footer)</w:t>
      </w:r>
    </w:p>
    <w:p>
      <w:pPr>
        <w:spacing w:after="120"/>
      </w:pPr>
      <w:r>
        <w:t xml:space="preserve">In an editable template, in Structure mode, the template author can lock certain components so that page authors cannot remove or edit them. Typical locked (fixed) components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(logo, navigation)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(legal links, copyright)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Sometimes the main page container or breadcrumb.</w:t>
      </w:r>
    </w:p>
    <w:p>
      <w:pPr>
        <w:spacing w:after="120"/>
      </w:pPr>
      <w:r>
        <w:t xml:space="preserve">These are configured in Structure mode by clicking the lock icon. Unlocked components become an 'unlocked area' (parsys/responsive grid) where page authors can add content.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Q10. What is cq:dialog</w:t>
      </w:r>
    </w:p>
    <w:p>
      <w:pPr>
        <w:spacing w:after="120"/>
      </w:pPr>
      <w:r>
        <w:t xml:space="preserve">cq:dialog is a JCR node (of type nt:unstructured with sling:resourceType=cq/gui/components/authoring/dialog) that defines the Touch UI authoring dialog for a 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Lives inside a component as /apps/&lt;project&gt;/components/&lt;comp&gt;/_cq_dialog/.content.xml.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Defines fields (textfield, pathfield, image, multifield, etc.) authors fill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using Granite UI / Coral UI resource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Saved as properties on the component's resource node under the page (jcr:content/&lt;component&gt;).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Q11. Have you created a component using sling:resourceSuperType?</w:t>
      </w:r>
    </w:p>
    <w:p>
      <w:pPr>
        <w:spacing w:after="120"/>
      </w:pPr>
      <w:r>
        <w:t xml:space="preserve">Yes. Example – extending the core title component: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node /apps/myproj/components/title.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sling:resourceSuperType="core/wcm/components/title/v3/title".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inherits everything (HTL, dialog, model).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override only what you need – e.g., add custom HTL, extend the dialog by referencing the parent via sling:resourceSuperType inside _cq_dialog.</w:t>
      </w:r>
    </w:p>
    <w:p>
      <w:pPr>
        <w:spacing w:after="120"/>
      </w:pPr>
      <w:r>
        <w:t xml:space="preserve">This is the recommended pattern: never copy core components, always inherit via sling:resourceSuperType (the 'proxy pattern').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Q12. In template, do we use sling:resourceType or sling:resourceSuperType?</w:t>
      </w:r>
    </w:p>
    <w:p>
      <w:pPr>
        <w:spacing w:after="120"/>
      </w:pPr>
      <w:r>
        <w:t xml:space="preserve">In a template (under /conf/.../structure/jcr:content/root/...) we use sling:resourceType – it points to the actual component to render.</w:t>
      </w:r>
    </w:p>
    <w:p>
      <w:pPr>
        <w:spacing w:after="120"/>
      </w:pPr>
      <w:r>
        <w:t xml:space="preserve">sling:resourceSuperType is used inside a component definition (under /apps) to declare inheritance from another component – it's a developer-side relationship, not a content-side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sling:resourceType: </w:t>
      </w:r>
      <w:r>
        <w:t xml:space="preserve">What component renders this resource (used in content / templates).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sling:resourceSuperType: </w:t>
      </w:r>
      <w:r>
        <w:t xml:space="preserve">Which component does this component inherit from (used in /apps).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Q13. Have you created any page?</w:t>
      </w:r>
    </w:p>
    <w:p>
      <w:pPr>
        <w:spacing w:after="120"/>
      </w:pPr>
      <w:r>
        <w:t xml:space="preserve">Yes. Steps to create a page programmatically or manually: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Sites Console → select parent page → Create →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template (from /conf/&lt;project&gt;/settings/wcm/templates).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title, name, tags.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 creates a cq:Page node with a jcr:content child of type cq:PageContent.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Programmatically: use PageManager#create(parentPath, name, templatePath, title).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Q14. Data-sly keywords – briefly explain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data-sly-use: </w:t>
      </w:r>
      <w:r>
        <w:t xml:space="preserve">Initializes a Sling Model or Use-class. e.g., data-sly-use.bean="com.proj.Model".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data-sly-test: </w:t>
      </w:r>
      <w:r>
        <w:t xml:space="preserve">Conditional rendering. e.g., data-sly-test="${bean.show}".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data-sly-list: </w:t>
      </w:r>
      <w:r>
        <w:t xml:space="preserve">Iterates over a collection. e.g., data-sly-list.item="${bean.items}".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data-sly-repeat: </w:t>
      </w:r>
      <w:r>
        <w:t xml:space="preserve">Same as list but repeats the element itself, not just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data-sly-include: </w:t>
      </w:r>
      <w:r>
        <w:t xml:space="preserve">Includes another HTL file. e.g., data-sly-include="partial.html".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data-sly-resource: </w:t>
      </w:r>
      <w:r>
        <w:t xml:space="preserve">Includes another resource (component). e.g., data-sly-resource="${ 'header' @ resourceType='proj/components/header' }".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data-sly-template / data-sly-call: </w:t>
      </w:r>
      <w:r>
        <w:t xml:space="preserve">Define and call reusable HTL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data-sly-attribute: </w:t>
      </w:r>
      <w:r>
        <w:t xml:space="preserve">Dynamically sets HTML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data-sly-element: </w:t>
      </w:r>
      <w:r>
        <w:t xml:space="preserve">Dynamically sets the HTML tag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data-sly-unwrap: </w:t>
      </w:r>
      <w:r>
        <w:t xml:space="preserve">Removes the host element while keeping its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data-sly-set: </w:t>
      </w:r>
      <w:r>
        <w:t xml:space="preserve">Creates a local variable.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Q15. Have you created a Sling Model?</w:t>
      </w:r>
    </w:p>
    <w:p>
      <w:pPr>
        <w:spacing w:after="120"/>
      </w:pPr>
      <w:r>
        <w:t xml:space="preserve">Yes. A Sling Model is a POJO that adapts from a Resource or SlingHttpServletRequest and exposes data to HTL.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@Model(adaptables = Resource.class,
       defaultInjectionStrategy = DefaultInjectionStrategy.OPTIONAL)
public class TitleModel {
    @ValueMapValue
    private String title;
    @ValueMapValue(name = "jcr:description")
    private String description;
    @PostConstruct
    protected void init() { /* logic */ }
    public String getTitle() { return title; }
    public String getDescription() { return description; }
}</w:t>
      </w:r>
    </w:p>
    <w:p>
      <w:pPr>
        <w:spacing w:after="120"/>
      </w:pPr>
      <w:r>
        <w:t xml:space="preserve">In HTL: data-sly-use.model="com.proj.models.TitleModel" then ${model.title}.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Q16. Annotations used in Sling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@Model: </w:t>
      </w:r>
      <w:r>
        <w:t xml:space="preserve">Marks the class as a Sling Model; declares adaptables.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@Inject: </w:t>
      </w:r>
      <w:r>
        <w:t xml:space="preserve">Generic injection (works for most cases).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@ValueMapValue: </w:t>
      </w:r>
      <w:r>
        <w:t xml:space="preserve">Injects a property from the resource's ValueMap.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@ChildResource: </w:t>
      </w:r>
      <w:r>
        <w:t xml:space="preserve">Injects a child resource (or model adapted from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@OSGiService – Injects an OSGi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@Self – Injects the adaptable itself (Resource / Request).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@SlingObject – Injects Sling-related objects (ResourceResolver, Request, Response).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@ScriptVariable – Injects HTL global objects (currentPage, pageProperties).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@RequestAttribute – Injects request attributes.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@PostConstruct – Method called after injection is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@Named, @Optional, @Default – modifiers for the above.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Q17. Sling Servlets</w:t>
      </w:r>
    </w:p>
    <w:p>
      <w:pPr>
        <w:spacing w:after="120"/>
      </w:pPr>
      <w:r>
        <w:t xml:space="preserve">Servlets in AEM are typically registered as OSGi services and resolved by Sling either by path or by resource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SlingSafeMethodsServlet (read-only, GET) or SlingAllMethodsServlet (read/write).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Override doGet / doPost / doPut / doDelete.</w:t>
      </w:r>
    </w:p>
    <w:p>
      <w:pPr>
        <w:spacing w:after="120"/>
      </w:pPr>
      <w:r>
        <w:t xml:space="preserve">Two registration styles: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// 1. By resource type (recommended)
@Component(service = Servlet.class)
@SlingServletResourceTypes(
    resourceTypes = "proj/components/page",
    methods       = HttpConstants.METHOD_GET,
    selectors     = "json",
    extensions    = "json")
public class PageJsonServlet extends SlingSafeMethodsServlet { ... }
// 2. By path (use only when necessary)
@Component(service = Servlet.class,
           property = {
             "sling.servlet.paths=/bin/proj/data",
             "sling.servlet.methods=GET"
           })
public class DataServlet extends SlingSafeMethodsServlet { ... }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Q18. Client Libraries – properties (allowProxy, dependencies, embed)</w:t>
      </w:r>
    </w:p>
    <w:p>
      <w:pPr>
        <w:spacing w:after="120"/>
      </w:pPr>
      <w:r>
        <w:t xml:space="preserve">A clientlib is a cq:ClientLibraryFolder node containing JS and CSS organized for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categories: </w:t>
      </w:r>
      <w:r>
        <w:t xml:space="preserve">String / String[] – logical name(s) used to include the clientlib via &lt;sly data-sly-call="${clientlib.all @ categories='proj.base'}"/&gt;.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 </w:t>
      </w:r>
      <w:r>
        <w:t xml:space="preserve">Other clientlib categories that must be loaded BEFORE this one (does not merge code, just orders include).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embed: </w:t>
      </w:r>
      <w:r>
        <w:t xml:space="preserve">Other clientlib categories whose code is merged INTO this clientlib's output file (reduces HTTP requests).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allowProxy: </w:t>
      </w:r>
      <w:r>
        <w:t xml:space="preserve">Boolean. When true, clientlib located in /apps can be served via /etc.clientlibs/&lt;path&gt;.js (recommended, keeps /apps protected).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Files: css.txt and js.txt list the order of resources, plus the actual .js / .css / .less files.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Q19. OSGi</w:t>
      </w:r>
    </w:p>
    <w:p>
      <w:pPr>
        <w:spacing w:after="120"/>
      </w:pPr>
      <w:r>
        <w:t xml:space="preserve">OSGi (Open Service Gateway initiative) is a dynamic module system for Java. AEM is built on Apache Felix (an OSGi container).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Bundle – a JAR with OSGi metadata in MANIFEST.MF (Bundle-SymbolicName, Bundle-Version, Import-Package, Export-Package).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– Java interface implementation registered in the service registry.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– via OSGi config admin (config files under /apps/&lt;proj&gt;/osgiconfig/config.&lt;runmode&gt;).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Lifecycle states – INSTALLED, RESOLVED, STARTING, ACTIVE, STOPPING, UNINSTALLED.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console at /system/console (bundles, services, configMgr, components).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Q20. Maven – build/deploy a project, generate archetype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 projects are generated from the Adobe AEM Project Archetype (Maven archetype).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mvn -B archetype:generate \
  -D archetypeGroupId=com.adobe.aem \
  -D archetypeArtifactId=aem-project-archetype \
  -D archetypeVersion=&lt;latest&gt; \
  -D appTitle="My Site" -D appId="mysite" -D groupId="com.mysite"</w:t>
      </w:r>
    </w:p>
    <w:p>
      <w:pPr>
        <w:spacing w:after="120"/>
      </w:pPr>
      <w:r>
        <w:t xml:space="preserve">Common build/deploy commands: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 install: </w:t>
      </w:r>
      <w:r>
        <w:t xml:space="preserve">Compile, run tests, package.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 install -PautoInstallBundle: </w:t>
      </w:r>
      <w:r>
        <w:t xml:space="preserve">Builds and pushes the bundle JAR to a running AEM via Felix Web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 install -PautoInstallPackage: </w:t>
      </w:r>
      <w:r>
        <w:t xml:space="preserve">Builds the content package and uploads/installs it via CRX Package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 install -PautoInstallPackagePublish: </w:t>
      </w:r>
      <w:r>
        <w:t xml:space="preserve">Installs on the publish instance (port 4503).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Q21. Variable / environment settings in Maven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Variables are defined in pom.xml under &lt;properties&gt; – e.g., &lt;aem.host&gt;localhost&lt;/aem.host&gt;, &lt;aem.port&gt;4502&lt;/aem.port&gt;.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Profiles (&lt;profile&gt;) define environment-specific overrides – dev, stage, prod.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 a profile with -P&lt;name&gt;, e.g., mvn clean install -Pprod.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Sensitive values (passwords) come from ~/.m2/settings.xml using &lt;server&gt; entries.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AEM, environment-specific OSGi configs go under /apps/&lt;proj&gt;/osgiconfig/config.&lt;runmode&gt;/ (e.g., config.dev, config.author.prod).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Q22. DAM (Digital Asset Management)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DAM is AEM's repository for digital assets stored under /content/dam.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asset is a dam:Asset node with original rendition + auto-generated renditions, metadata, and references.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Compute Service / DAM Update Asset workflow processes uploaded assets (thumbnails, metadata extraction, FFmpeg for video).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metadata schemas, smart tags, asset collections, asset shares, AEM Assets Brand Portal.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Authors can reference DAM assets in components through the pathfield/imagefield in dialogs.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Q23. Multifield</w:t>
      </w:r>
    </w:p>
    <w:p>
      <w:pPr>
        <w:spacing w:after="120"/>
      </w:pPr>
      <w:r>
        <w:t xml:space="preserve">A multifield (granite/ui/components/coral/foundation/form/multifield) lets authors add a variable number of entries (e.g., a list of links).</w:t>
      </w:r>
    </w:p>
    <w:p>
      <w:pPr>
        <w:spacing w:after="120"/>
      </w:pPr>
      <w:r>
        <w:t xml:space="preserve">Two flavors: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Simple multifield: </w:t>
      </w:r>
      <w:r>
        <w:t xml:space="preserve">Single field repeated. Stored as a String[] property.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Composite multifield: </w:t>
      </w:r>
      <w:r>
        <w:t xml:space="preserve">Multiple sub-fields per entry (composite="true"). Stored as child nodes (item0, item1, …) under a parent node.</w:t>
      </w:r>
    </w:p>
    <w:p>
      <w:pPr>
        <w:spacing w:after="120"/>
      </w:pPr>
      <w:r>
        <w:t xml:space="preserve">In Sling Model, inject composite multifield as List&lt;ChildModel&gt; using @ChildResource on the parent node.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Q24. Any challenges you faced?</w:t>
      </w:r>
    </w:p>
    <w:p>
      <w:pPr>
        <w:spacing w:after="120"/>
      </w:pPr>
      <w:r>
        <w:t xml:space="preserve">Common real-world challenges and how they were solved: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Dispatcher cache invalidation issues – fixed by configuring the right /statfileslevel and using sling:vanityPath carefully.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Sling Model not injecting values – mismatch between adaptable type or missing @ValueMapValue(name="jcr:title").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Clientlibs not loading on publish – allowProxy=false and library not in /etc.clientlibs path; fixed by setting allowProxy=true.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Editable template policy changes not reflecting on existing pages – had to re-publish the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issues – large queries without indexes; created Oak indexes.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failures – fixed by checking the replication agent transport user and ACLs on /bin/receive.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Q25. Maven build commands – mvn clean install -P autoInstallBundle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clean: </w:t>
      </w:r>
      <w:r>
        <w:t xml:space="preserve">Removes the target/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install: </w:t>
      </w:r>
      <w:r>
        <w:t xml:space="preserve">Builds the project, runs tests, installs artifacts to local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mvn clean install: </w:t>
      </w:r>
      <w:r>
        <w:t xml:space="preserve">Combined – clean + install.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-P autoInstallBundle: </w:t>
      </w:r>
      <w:r>
        <w:t xml:space="preserve">Activates the profile that uploads only the bundle JAR to a running AEM instance (faster iteration during development).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-P autoInstallPackage: </w:t>
      </w:r>
      <w:r>
        <w:t xml:space="preserve">Uploads the full content package (CRX) to the author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-P autoInstallPackagePublish: </w:t>
      </w:r>
      <w:r>
        <w:t xml:space="preserve">Same, but to the publish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-P autoInstallSinglePackage: </w:t>
      </w:r>
      <w:r>
        <w:t xml:space="preserve">Installs a single 'all' package containing both bundle and content (used with the all module in modern archetypes).</w:t>
      </w:r>
    </w:p>
    <w:p>
      <w:pPr>
        <w:pStyle w:val="Heading1"/>
        <w:spacing w:after="180" w:before="360"/>
      </w:pPr>
      <w:r>
        <w:t xml:space="preserve">Section B – Your additional 24 questions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Q1. Author and Publisher</w:t>
      </w:r>
    </w:p>
    <w:p>
      <w:pPr>
        <w:spacing w:after="120"/>
      </w:pPr>
      <w:r>
        <w:t xml:space="preserve">Same answer as Section A Q5 – the two main AEM instance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Author: </w:t>
      </w:r>
      <w:r>
        <w:t xml:space="preserve">Editing environment for authors / content creators. Default port 4502. Sits behind firewall.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Publisher: </w:t>
      </w:r>
      <w:r>
        <w:t xml:space="preserve">Public-facing instance that serves the live website. Default port 4503. Sits in DMZ behind dispatcher.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moves from Author → Publish via replication (default agent /etc/replication/agents.author/publish).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Q2. Dispatcher</w:t>
      </w:r>
    </w:p>
    <w:p>
      <w:pPr>
        <w:spacing w:after="120"/>
      </w:pPr>
      <w:r>
        <w:t xml:space="preserve">Dispatcher is Adobe's caching/load-balancing module that sits between the Apache/HTTPD web server and the AEM publish instance(s).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Caches HTML, JS, CSS, images on the file system → drastically improves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Performs load balancing across multiple publishers.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– filters request URLs, methods, selectors, suffixes via the filter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Invalidates cache when activation happens (via /dispatcher/invalidate.cache).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 files: dispatcher.any (farms, filters, cache rules).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AEMaaCS, configured via the Dispatcher SDK; rules are validated by Cloud Manager before deploy.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Q3. JCR</w:t>
      </w:r>
    </w:p>
    <w:p>
      <w:pPr>
        <w:spacing w:after="120"/>
      </w:pPr>
      <w:r>
        <w:t xml:space="preserve">(Same concept as Section A Q6.) Java Content Repository – hierarchical, transactional content store implemented in AEM by Apache Jackrabbit Oak.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Tree of Nodes; nodes hold Properties (name + value).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node type defines structure; mixin types add facets.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APIs: Session, Node, Property, QueryManager.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observation (listeners), versioning, search.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Q4. Sling</w:t>
      </w:r>
    </w:p>
    <w:p>
      <w:pPr>
        <w:spacing w:after="120"/>
      </w:pPr>
      <w:r>
        <w:t xml:space="preserve">Apache Sling is the RESTful web framework AEM is built on. It maps HTTP requests to resources in the JCR.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→ Resource resolution via ResourceResolver and resource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decomposition: path, selectors, extension, suffix (e.g., /content/site/page.print.a4.html/foo/bar).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Scripts (HTL/JSP) are resolved through the script resolution mechanism (resourceType + selector + extension).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Sling Models, Sling Servlets, Sling Events, Sling Scheduler, ResourceResolverFactory, etc.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Q5. High-level AEM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1 – User / Browser.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2 – CDN (optional, e.g., Akamai / Fastly / AEMaaCS CDN).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3 – Apache HTTPD + Dispatcher module (caching + filtering + load-balancing).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4 – AEM Publish instance(s) – Sling + Felix (OSGi) + Jackrabbit Oak.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Layer 5 – AEM Author instance – same stack but used for authoring.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Replication moves content Author → Publish.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Persistence: TarMK (file system) for single-node or MongoMK (MongoDB) / Document NodeStore (Cloud) for cluster, with DataStore (S3, Azure Blob, file) for binaries.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Q6. OSGi</w:t>
      </w:r>
    </w:p>
    <w:p>
      <w:pPr>
        <w:spacing w:after="120"/>
      </w:pPr>
      <w:r>
        <w:t xml:space="preserve">Already covered in Section A Q19. Summary: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system: code packaged as bundles (JARs).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Service-oriented: components register / consume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Dynamic: bundles/services can be installed, started, stopped, updated at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AEM uses Apache Felix as its OSGi container.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Q7. OSGi configuration annotations</w:t>
      </w:r>
    </w:p>
    <w:p>
      <w:pPr>
        <w:spacing w:after="120"/>
      </w:pPr>
      <w:r>
        <w:t xml:space="preserve">Modern AEM uses OSGi DS (Declarative Services) R6+ annotations: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@Component – declares an OSGi component (often with service = Xxx.class).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@Service / service attribute – registers as a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@Activate, @Modified, @Deactivate – lifecycle methods.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@Reference – injects another OSGi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@ObjectClassDefinition (OCD) + @AttributeDefinition – type-safe configuration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@Designate – binds OCD to a component.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@ObjectClassDefinition(name="My Service Config")
public @interface Config {
    @AttributeDefinition(name="API URL")
    String apiUrl() default "https://api.example.com";
}
@Component(service = MyService.class)
@Designate(ocd = Config.class)
public class MyServiceImpl implements MyService {
    @Activate @Modified
    protected void activate(Config cfg) { this.url = cfg.apiUrl(); }
}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Q8. Why must the HTML file have the same name as the component node?</w:t>
      </w:r>
    </w:p>
    <w:p>
      <w:pPr>
        <w:spacing w:after="120"/>
      </w:pPr>
      <w:r>
        <w:t xml:space="preserve">Sling resolves the script for a component using its resource type. By default, Sling looks for a file named &lt;componentName&gt;.html inside the component folder.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component node is /apps/proj/components/title, Sling looks for /apps/proj/components/title/title.html.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default 'main' script when no selector / extension match a more specific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scripts (e.g., title.json.html or POST.html) handle other selectors / methods.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file name doesn't match, Sling falls back to super type, or returns an error if none exists.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Q9. Components and Client Libraries</w:t>
      </w:r>
    </w:p>
    <w:p>
      <w:pPr>
        <w:spacing w:after="120"/>
      </w:pPr>
      <w:r>
        <w:t xml:space="preserve">Components produce markup; clientlibs provide their JS/CSS.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 → /apps/&lt;proj&gt;/components, contain HTL + dialog +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Clientlibs → /apps/&lt;proj&gt;/clientlibs, contain CSS / JS / less / icons.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 reference clientlibs by their category, included on a page typically at the page-component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practice: each component has its own clientlib with category proj.components.&lt;comp&gt;; included via the page's main clientlib using 'embed' or 'dependencies'.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Q10. How to connect clientlib to a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clientlib folder inside the component, e.g., /apps/proj/components/title/clientlibs/site.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categories="proj.components.title", allowProxy=true.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to the parent / page clientlib via the embed or dependencies property.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 include directly in HTL using &lt;sly data-sly-use.clientlib="/libs/granite/sightly/templates/clientlib.html" data-sly-call="${clientlib.all @ categories='proj.components.title'}"/&gt; (but page-level inclusion is preferred).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Q11. How to connect a Sling Model with a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Sling Model class with @Model(adaptables = Resource.class, resourceType = "proj/components/title").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with @Exporter for JSON exposure if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HTL: data-sly-use.bean="com.proj.models.TitleModel" then access ${bean.title}.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sure the bundle is OSGi-installed and the Sling Models package is scanned (set in bundle's MANIFEST.MF via Sling-Model-Packages header – handled automatically by the AEM archetype).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Q12. Adaptables, cq:dialog</w:t>
      </w:r>
    </w:p>
    <w:p>
      <w:pPr>
        <w:spacing w:after="120"/>
      </w:pPr>
      <w:r>
        <w:t xml:space="preserve">Adaptables (in Sling Models) define what objects the model can be adapted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Resource: </w:t>
      </w:r>
      <w:r>
        <w:t xml:space="preserve">Use when the model only needs JCR data – best for component models. Lightweight.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SlingHttpServletRequest: </w:t>
      </w:r>
      <w:r>
        <w:t xml:space="preserve">Use when the model needs request data – e.g., request parameters, request attributes, current page, current style. Used for components that change behavior based on request.</w:t>
      </w:r>
    </w:p>
    <w:p>
      <w:pPr>
        <w:spacing w:after="120"/>
      </w:pPr>
      <w:r>
        <w:t xml:space="preserve">cq:dialog – covered in Section A Q10; it's the Touch UI authoring dialog node.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Q13. How to register a servlet</w:t>
      </w:r>
    </w:p>
    <w:p>
      <w:pPr>
        <w:spacing w:after="120"/>
      </w:pPr>
      <w:r>
        <w:t xml:space="preserve">Two ways (already shown in Section A Q17):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resource type (preferred): @SlingServletResourceTypes(resourceTypes = ..., methods = ..., selectors = ..., extensions = ...).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 path: @SlingServletPaths("/bin/proj/api").</w:t>
      </w:r>
    </w:p>
    <w:p>
      <w:pPr>
        <w:spacing w:after="120"/>
      </w:pPr>
      <w:r>
        <w:t xml:space="preserve">Always register as an OSGi service of type javax.servlet.Servlet (or jakarta.servlet.Servlet in newer AEMaaCS).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Q14. Two methods in Servlet interface</w:t>
      </w:r>
    </w:p>
    <w:p>
      <w:pPr>
        <w:spacing w:after="120"/>
      </w:pPr>
      <w:r>
        <w:t xml:space="preserve">The javax.servlet.Servlet interface itself defines: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init(ServletConfig)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service(ServletRequest, ServletResponse)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destroy()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getServletConfig()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getServletInfo()</w:t>
      </w:r>
    </w:p>
    <w:p>
      <w:pPr>
        <w:spacing w:after="120"/>
      </w:pPr>
      <w:r>
        <w:t xml:space="preserve">In Sling, you don't usually implement the interface directly – you extend: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SlingSafeMethodsServlet: </w:t>
      </w:r>
      <w:r>
        <w:t xml:space="preserve">Provides doGet, doHead, doOptions, doTrace – read-only.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SlingAllMethodsServlet: </w:t>
      </w:r>
      <w:r>
        <w:t xml:space="preserve">Adds doPost, doPut, doDelete – read/write.</w:t>
      </w:r>
    </w:p>
    <w:p>
      <w:pPr>
        <w:spacing w:after="120"/>
      </w:pPr>
      <w:r>
        <w:t xml:space="preserve">Most commonly overridden methods: doGet(SlingHttpServletRequest req, SlingHttpServletResponse resp) and doPost(...).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Q15. Static vs Editable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Static template: </w:t>
      </w:r>
      <w:r>
        <w:t xml:space="preserve">Older approach. Defined under /apps/&lt;proj&gt;/templates. Page structure hard-coded in HTL / JSP. Changes require code deploy. Page is decoupled from template after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Editable template: </w:t>
      </w:r>
      <w:r>
        <w:t xml:space="preserve">Newer (6.2+). Defined under /conf/&lt;proj&gt;/settings/wcm/templates. Authors define structure / policies through UI. Page maintains a live connection (cq:template) and inherits structural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Editable templates are the recommended approach today. AEMaaCS strongly encourages editable templates.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Q16. Initial content, Structure, Layout (editable template modes)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Structure: </w:t>
      </w:r>
      <w:r>
        <w:t xml:space="preserve">Defines locked components (header, footer) and the unlocked area where authors can drop components. Locked = page authors cannot edit. Unlocked area = parsys /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Initial Content: </w:t>
      </w:r>
      <w:r>
        <w:t xml:space="preserve">Pre-populated components on every new page created from this template. Authors CAN modify these on individual pages, but they appear on every new page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t xml:space="preserve">Define responsive layout (12-column grid) for breakpoints (mobile/tablet/desktop).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Policies: </w:t>
      </w:r>
      <w:r>
        <w:t xml:space="preserve">Per component, define allowed values / configuration – e.g., for the text component which RTE plugins are enabled.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Q17. How to create a clientlib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/apps/&lt;proj&gt;/clientlibs → Create → Create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type: cq:ClientLibraryFolder. Name: e.g., clientlib-site.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properties: categories (String[]), allowProxy (Boolean), and optionally dependencies / embed (String[]).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the folder, create css.txt and js.txt listing files in order, and add css/ and js/ subfolders with the actual files.</w:t>
      </w:r>
    </w:p>
    <w:p>
      <w:pPr>
        <w:shd w:fill="F4F4F4" w:val="clear"/>
        <w:spacing w:after="100" w:before="60"/>
      </w:pPr>
      <w:r>
        <w:rPr>
          <w:rFonts w:ascii="Consolas" w:cs="Consolas" w:eastAsia="Consolas" w:hAnsi="Consolas"/>
          <w:sz w:val="20"/>
          <w:szCs w:val="20"/>
        </w:rPr>
        <w:t xml:space="preserve">clientlib-site/
├── .content.xml          (categories, allowProxy)
├── css.txt               (#base=css\n  styles.css)
├── css/
│   └── styles.css
├── js.txt                (#base=js\n  main.js)
└── js/
    └── main.js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Q18. allowProxy, categories, dependencies,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categories: </w:t>
      </w:r>
      <w:r>
        <w:t xml:space="preserve">Logical name(s). Used to include the clientlib in HTL or via dependencies/embed of other clientlibs.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allowProxy: </w:t>
      </w:r>
      <w:r>
        <w:t xml:space="preserve">If true, the clientlib (under /apps) is served via /etc.clientlibs/. Keeps /apps protected from public access. Always set to true in AEMaaCS.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dependencies: </w:t>
      </w:r>
      <w:r>
        <w:t xml:space="preserve">Other clientlib categories that must load BEFORE this one. They are included as separate &lt;script&gt;/&lt;link&gt;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embed: </w:t>
      </w:r>
      <w:r>
        <w:t xml:space="preserve">Other clientlib categories whose code is MERGED into this clientlib's output (one combined file – fewer HTTP requests).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Q19. Page policy</w:t>
      </w:r>
    </w:p>
    <w:p>
      <w:pPr>
        <w:spacing w:after="120"/>
      </w:pPr>
      <w:r>
        <w:t xml:space="preserve">A page policy is the configuration of an editable template's page component (jcr:content of the structure node). It defines: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clientlib categories load on every page using this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page properties (e.g., default redirect behavior, social tags).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Webpage meta-data defaults.</w:t>
      </w:r>
    </w:p>
    <w:p>
      <w:pPr>
        <w:spacing w:after="120"/>
      </w:pPr>
      <w:r>
        <w:t xml:space="preserve">Policies in general (per component) live under /conf/&lt;proj&gt;/settings/wcm/policies and are versioned/reusable. Page policy is just the policy of the root page component.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Q20. Blueprint, Live Copy, Language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Blueprint: </w:t>
      </w:r>
      <w:r>
        <w:t xml:space="preserve">A 'master' site used as the source. Defined as a blueprint configuration under /etc/msm/. Holds the original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Copy: </w:t>
      </w:r>
      <w:r>
        <w:t xml:space="preserve">A copy of the blueprint (or any source page). Maintains a live relationship – changes in source can roll out to live copy. Each component has 'inheritance' that can be cancelled per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 Copy: </w:t>
      </w:r>
      <w:r>
        <w:t xml:space="preserve">A specific kind of copy used for translation – content is copied and sent to a translation provider (machine or human). Maintained per locale under /content/&lt;site&gt;/&lt;locale&gt;.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Rollout = pushing changes from blueprint to live copies.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Synchronize = manual rollout for a specific page.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Q21. Multi-Site Manager (MSM)</w:t>
      </w:r>
    </w:p>
    <w:p>
      <w:pPr>
        <w:spacing w:after="120"/>
      </w:pPr>
      <w:r>
        <w:t xml:space="preserve">MSM is the AEM framework for managing multiple sites that share content/structure, often used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Multi-region / multi-brand sites that share a common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/ localized variations of a single site.</w:t>
      </w:r>
    </w:p>
    <w:p>
      <w:pPr>
        <w:spacing w:after="120"/>
      </w:pPr>
      <w:r>
        <w:t xml:space="preserve">Key concepts: Blueprint, Live Copy, Rollout configuration, Inheritance, Suspend/Cancel inheritance, Detach live copy.</w:t>
      </w:r>
    </w:p>
    <w:p>
      <w:pPr>
        <w:spacing w:after="120"/>
      </w:pPr>
      <w:r>
        <w:t xml:space="preserve">Rollout configs determine what happens when a blueprint is changed – e.g., Standard rollout copies content; Activate after Rollout also publishes.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Q22. Can we create a Language Copy from a Live Copy?</w:t>
      </w:r>
    </w:p>
    <w:p>
      <w:pPr>
        <w:spacing w:after="120"/>
      </w:pPr>
      <w:r>
        <w:t xml:space="preserve">Yes. AEM supports a 'translation-aware live copy' – you can create a Live Copy and configure it as a Language Copy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a Live Copy with the appropriate rollout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Or, creating a Language Copy from the Sites console (References Rail → Language Copies → Create &amp; Translate).</w:t>
      </w:r>
    </w:p>
    <w:p>
      <w:pPr>
        <w:spacing w:after="120"/>
      </w:pPr>
      <w:r>
        <w:t xml:space="preserve">Best practice in modern AEM: keep a master in a single language (e.g., /content/site/language-masters/en), create Live Copies for each region, and Language Copies within each region for additional languages. Language Copies and Live Copies can be combined – the 'Catalyst' / 'Translation Integration Framework' handles this scenario.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Q23. Experience Fragment vs Content Fragment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Experience Fragment (XF): </w:t>
      </w:r>
      <w:r>
        <w:t xml:space="preserve">A reusable, designed group of components that include layout and styling. Used for marketing experiences (e.g., a hero block, a footer) that need to be reused across pages, sites, and channels (email, Facebook, Pinterest). Lives under /content/experience-fragments/.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 Fragment (CF): </w:t>
      </w:r>
      <w:r>
        <w:t xml:space="preserve">Structured, channel-agnostic CONTENT only (no layout). Defined by a Content Fragment Model that specifies fields and types. Used for headless delivery via GraphQL or Sling Model exporter. Lives under /content/dam/&lt;path&gt;.</w:t>
      </w:r>
    </w:p>
    <w:p>
      <w:pPr>
        <w:spacing w:after="120"/>
      </w:pPr>
      <w:r>
        <w:t xml:space="preserve">Rule of thumb: Experience Fragments = designed content; Content Fragments = pure content for any channel.</w:t>
      </w:r>
    </w:p>
    <w:p>
      <w:pPr>
        <w:shd w:fill="EAF3FB" w:val="clear"/>
        <w:spacing w:after="120" w:before="300"/>
      </w:pPr>
      <w:r>
        <w:rPr>
          <w:b/>
          <w:bCs/>
          <w:sz w:val="26"/>
          <w:szCs w:val="26"/>
        </w:rPr>
        <w:t xml:space="preserve">Q24. Modules in Maven archetype folder structure</w:t>
      </w:r>
    </w:p>
    <w:p>
      <w:pPr>
        <w:spacing w:after="120"/>
      </w:pPr>
      <w:r>
        <w:t xml:space="preserve">The Adobe AEM Project Archetype generates a multi-module Maven project. Typical modules: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core: </w:t>
      </w:r>
      <w:r>
        <w:t xml:space="preserve">Java code – Sling Models, Servlets, OSGi services, filters. Compiles to an OSGi bundle (.jar).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ui.apps: </w:t>
      </w:r>
      <w:r>
        <w:t xml:space="preserve">Code that goes into /apps – components, templates structures, clientlibs, OSGi configs. Packaged as a content package.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ui.content: </w:t>
      </w:r>
      <w:r>
        <w:t xml:space="preserve">Sample / required content under /content – sample pages, tags, languages.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ui.config: </w:t>
      </w:r>
      <w:r>
        <w:t xml:space="preserve">OSGi runtime configurations (separate from ui.apps in modern archetype, especially for AEMaaCS).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ui.frontend: </w:t>
      </w:r>
      <w:r>
        <w:t xml:space="preserve">Webpack-based front-end build (TypeScript, SCSS) → compiled output is copied into ui.apps as clientlibs.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ui.tests: </w:t>
      </w:r>
      <w:r>
        <w:t xml:space="preserve">End-to-end tests (UI tests, Hobbes / WDIO).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it.tests: </w:t>
      </w:r>
      <w:r>
        <w:t xml:space="preserve">Integration tests run against a live AEM.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dispatcher: </w:t>
      </w:r>
      <w:r>
        <w:t xml:space="preserve">Apache + Dispatcher configuration files (AEMaaCS structure).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all: </w:t>
      </w:r>
      <w:r>
        <w:t xml:space="preserve">Aggregator – produces a single 'all' container package that includes ui.apps + ui.content + ui.config + core bundle. This is what gets deployed via Cloud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analyse (optional): </w:t>
      </w:r>
      <w:r>
        <w:t xml:space="preserve">Static analysis to fail builds with policy violations.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1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2026-05-18T05:09:30.105Z</dcterms:created>
  <dcterms:modified xsi:type="dcterms:W3CDTF">2026-05-18T05:09:30.117Z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