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6365C"/>
          <w:sz w:val="58"/>
        </w:rPr>
        <w:t>SOURCE CODE</w:t>
        <w:br/>
        <w:t>SECURITY REVIEW</w:t>
      </w:r>
    </w:p>
    <w:p>
      <w:pPr>
        <w:jc w:val="center"/>
      </w:pPr>
      <w:r>
        <w:rPr>
          <w:color w:val="007096"/>
          <w:sz w:val="28"/>
        </w:rPr>
        <w:t>BillingApp — Flask Billing &amp; Invoicing Application</w:t>
      </w:r>
    </w:p>
    <w:p/>
    <w:tbl>
      <w:tblPr>
        <w:tblW w:type="auto" w:w="0"/>
        <w:jc w:val="center"/>
        <w:tblLayout w:type="fixed"/>
        <w:tblLook w:firstColumn="1" w:firstRow="1" w:lastColumn="0" w:lastRow="0" w:noHBand="0" w:noVBand="1" w:val="04A0"/>
      </w:tblPr>
      <w:tblGrid>
        <w:gridCol w:w="2448"/>
        <w:gridCol w:w="6912"/>
      </w:tblGrid>
      <w:tr>
        <w:tc>
          <w:tcPr>
            <w:tcW w:type="dxa" w:w="4968"/>
            <w:vAlign w:val="center"/>
            <w:shd w:fill="17365D"/>
          </w:tcPr>
          <w:p>
            <w:pPr>
              <w:spacing w:after="20"/>
            </w:pPr>
            <w:r/>
            <w:r>
              <w:rPr>
                <w:rFonts w:ascii="Aptos" w:hAnsi="Aptos"/>
                <w:b/>
                <w:color w:val="FFFFFF"/>
                <w:sz w:val="18"/>
              </w:rPr>
              <w:t>Target</w:t>
            </w:r>
          </w:p>
        </w:tc>
        <w:tc>
          <w:tcPr>
            <w:tcW w:type="dxa" w:w="4968"/>
            <w:vAlign w:val="center"/>
            <w:shd w:fill="F1F5F9"/>
          </w:tcPr>
          <w:p>
            <w:pPr>
              <w:spacing w:after="20"/>
            </w:pPr>
            <w:r/>
            <w:r>
              <w:rPr>
                <w:rFonts w:ascii="Aptos" w:hAnsi="Aptos"/>
                <w:b w:val="0"/>
                <w:sz w:val="18"/>
              </w:rPr>
              <w:t>BillingApp.exe</w:t>
            </w:r>
          </w:p>
        </w:tc>
      </w:tr>
      <w:tr>
        <w:tc>
          <w:tcPr>
            <w:tcW w:type="dxa" w:w="4968"/>
            <w:vAlign w:val="center"/>
            <w:shd w:fill="17365D"/>
          </w:tcPr>
          <w:p>
            <w:pPr>
              <w:spacing w:after="20"/>
            </w:pPr>
            <w:r/>
            <w:r>
              <w:rPr>
                <w:rFonts w:ascii="Aptos" w:hAnsi="Aptos"/>
                <w:b/>
                <w:color w:val="FFFFFF"/>
                <w:sz w:val="18"/>
              </w:rPr>
              <w:t>Application</w:t>
            </w:r>
          </w:p>
        </w:tc>
        <w:tc>
          <w:tcPr>
            <w:tcW w:type="dxa" w:w="4968"/>
            <w:vAlign w:val="center"/>
            <w:shd w:fill="FFFFFF"/>
          </w:tcPr>
          <w:p>
            <w:pPr>
              <w:spacing w:after="20"/>
            </w:pPr>
            <w:r/>
            <w:r>
              <w:rPr>
                <w:rFonts w:ascii="Aptos" w:hAnsi="Aptos"/>
                <w:b w:val="0"/>
                <w:sz w:val="18"/>
              </w:rPr>
              <w:t>PyInstaller-bundled Flask application</w:t>
            </w:r>
          </w:p>
        </w:tc>
      </w:tr>
      <w:tr>
        <w:tc>
          <w:tcPr>
            <w:tcW w:type="dxa" w:w="4968"/>
            <w:vAlign w:val="center"/>
            <w:shd w:fill="17365D"/>
          </w:tcPr>
          <w:p>
            <w:pPr>
              <w:spacing w:after="20"/>
            </w:pPr>
            <w:r/>
            <w:r>
              <w:rPr>
                <w:rFonts w:ascii="Aptos" w:hAnsi="Aptos"/>
                <w:b/>
                <w:color w:val="FFFFFF"/>
                <w:sz w:val="18"/>
              </w:rPr>
              <w:t>Runtime identified</w:t>
            </w:r>
          </w:p>
        </w:tc>
        <w:tc>
          <w:tcPr>
            <w:tcW w:type="dxa" w:w="4968"/>
            <w:vAlign w:val="center"/>
            <w:shd w:fill="F1F5F9"/>
          </w:tcPr>
          <w:p>
            <w:pPr>
              <w:spacing w:after="20"/>
            </w:pPr>
            <w:r/>
            <w:r>
              <w:rPr>
                <w:rFonts w:ascii="Aptos" w:hAnsi="Aptos"/>
                <w:b w:val="0"/>
                <w:sz w:val="18"/>
              </w:rPr>
              <w:t>Python 3.14 bytecode</w:t>
            </w:r>
          </w:p>
        </w:tc>
      </w:tr>
      <w:tr>
        <w:tc>
          <w:tcPr>
            <w:tcW w:type="dxa" w:w="4968"/>
            <w:vAlign w:val="center"/>
            <w:shd w:fill="17365D"/>
          </w:tcPr>
          <w:p>
            <w:pPr>
              <w:spacing w:after="20"/>
            </w:pPr>
            <w:r/>
            <w:r>
              <w:rPr>
                <w:rFonts w:ascii="Aptos" w:hAnsi="Aptos"/>
                <w:b/>
                <w:color w:val="FFFFFF"/>
                <w:sz w:val="18"/>
              </w:rPr>
              <w:t>Review approach</w:t>
            </w:r>
          </w:p>
        </w:tc>
        <w:tc>
          <w:tcPr>
            <w:tcW w:type="dxa" w:w="4968"/>
            <w:vAlign w:val="center"/>
            <w:shd w:fill="FFFFFF"/>
          </w:tcPr>
          <w:p>
            <w:pPr>
              <w:spacing w:after="20"/>
            </w:pPr>
            <w:r/>
            <w:r>
              <w:rPr>
                <w:rFonts w:ascii="Aptos" w:hAnsi="Aptos"/>
                <w:b w:val="0"/>
                <w:sz w:val="18"/>
              </w:rPr>
              <w:t>Static analysis of recovered application logic / bytecode disassembly</w:t>
            </w:r>
          </w:p>
        </w:tc>
      </w:tr>
    </w:tbl>
    <w:p/>
    <w:p>
      <w:pPr>
        <w:jc w:val="center"/>
      </w:pPr>
      <w:r>
        <w:rPr>
          <w:i/>
          <w:color w:val="647382"/>
          <w:sz w:val="18"/>
        </w:rPr>
        <w:t>Assessment basis: supplied security review PDF</w:t>
      </w:r>
    </w:p>
    <w:p>
      <w:r>
        <w:br w:type="page"/>
      </w:r>
    </w:p>
    <w:p>
      <w:pPr>
        <w:pStyle w:val="Heading1"/>
        <w:keepNext/>
      </w:pPr>
      <w:r>
        <w:t>1. Executive Summary</w:t>
      </w:r>
    </w:p>
    <w:p>
      <w:r>
        <w:t>The reviewed application is a local Flask billing and invoicing tool using SQLite, SQLAlchemy ORM, session-based authentication, and ReportLab PDF export. The supplied assessment reports that password hashing and SQL query construction are implemented safely. However, authentication is not enforced on business-data endpoints, and the executable contains a hardcoded Flask secret key and default administrator credentials.</w:t>
      </w:r>
    </w:p>
    <w:p>
      <w:r>
        <w:t>The combination of missing access-control checks and predictable embedded secrets creates a serious risk to customer personally identifiable information (PII) and billing records. The source assessment reports the following severity distribution: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Severity</w:t>
            </w:r>
          </w:p>
        </w:tc>
        <w:tc>
          <w:tcPr>
            <w:tcW w:type="dxa" w:w="4968"/>
            <w:vAlign w:val="center"/>
            <w:shd w:fill="17365D"/>
          </w:tcPr>
          <w:p>
            <w:pPr>
              <w:spacing w:after="20"/>
            </w:pPr>
            <w:r/>
            <w:r>
              <w:rPr>
                <w:rFonts w:ascii="Aptos" w:hAnsi="Aptos"/>
                <w:b/>
                <w:color w:val="FFFFFF"/>
                <w:sz w:val="18"/>
              </w:rPr>
              <w:t>Count</w:t>
            </w:r>
          </w:p>
        </w:tc>
      </w:tr>
      <w:tr>
        <w:tc>
          <w:tcPr>
            <w:tcW w:type="dxa" w:w="4968"/>
            <w:vAlign w:val="center"/>
          </w:tcPr>
          <w:p>
            <w:pPr>
              <w:spacing w:after="20"/>
            </w:pPr>
            <w:r/>
            <w:r>
              <w:rPr>
                <w:rFonts w:ascii="Aptos" w:hAnsi="Aptos"/>
                <w:b/>
                <w:sz w:val="18"/>
              </w:rPr>
              <w:t>Critical</w:t>
            </w:r>
          </w:p>
        </w:tc>
        <w:tc>
          <w:tcPr>
            <w:tcW w:type="dxa" w:w="4968"/>
            <w:vAlign w:val="center"/>
          </w:tcPr>
          <w:p>
            <w:pPr>
              <w:spacing w:after="20"/>
            </w:pPr>
            <w:r/>
            <w:r>
              <w:rPr>
                <w:rFonts w:ascii="Aptos" w:hAnsi="Aptos"/>
                <w:b w:val="0"/>
                <w:sz w:val="18"/>
              </w:rPr>
              <w:t>2</w:t>
            </w:r>
          </w:p>
        </w:tc>
      </w:tr>
      <w:tr>
        <w:tc>
          <w:tcPr>
            <w:tcW w:type="dxa" w:w="4968"/>
            <w:vAlign w:val="center"/>
          </w:tcPr>
          <w:p>
            <w:pPr>
              <w:spacing w:after="20"/>
            </w:pPr>
            <w:r/>
            <w:r>
              <w:rPr>
                <w:rFonts w:ascii="Aptos" w:hAnsi="Aptos"/>
                <w:b/>
                <w:sz w:val="18"/>
              </w:rPr>
              <w:t>High</w:t>
            </w:r>
          </w:p>
        </w:tc>
        <w:tc>
          <w:tcPr>
            <w:tcW w:type="dxa" w:w="4968"/>
            <w:vAlign w:val="center"/>
          </w:tcPr>
          <w:p>
            <w:pPr>
              <w:spacing w:after="20"/>
            </w:pPr>
            <w:r/>
            <w:r>
              <w:rPr>
                <w:rFonts w:ascii="Aptos" w:hAnsi="Aptos"/>
                <w:b w:val="0"/>
                <w:sz w:val="18"/>
              </w:rPr>
              <w:t>3</w:t>
            </w:r>
          </w:p>
        </w:tc>
      </w:tr>
      <w:tr>
        <w:tc>
          <w:tcPr>
            <w:tcW w:type="dxa" w:w="4968"/>
            <w:vAlign w:val="center"/>
          </w:tcPr>
          <w:p>
            <w:pPr>
              <w:spacing w:after="20"/>
            </w:pPr>
            <w:r/>
            <w:r>
              <w:rPr>
                <w:rFonts w:ascii="Aptos" w:hAnsi="Aptos"/>
                <w:b/>
                <w:sz w:val="18"/>
              </w:rPr>
              <w:t>Medium</w:t>
            </w:r>
          </w:p>
        </w:tc>
        <w:tc>
          <w:tcPr>
            <w:tcW w:type="dxa" w:w="4968"/>
            <w:vAlign w:val="center"/>
          </w:tcPr>
          <w:p>
            <w:pPr>
              <w:spacing w:after="20"/>
            </w:pPr>
            <w:r/>
            <w:r>
              <w:rPr>
                <w:rFonts w:ascii="Aptos" w:hAnsi="Aptos"/>
                <w:b w:val="0"/>
                <w:sz w:val="18"/>
              </w:rPr>
              <w:t>3</w:t>
            </w:r>
          </w:p>
        </w:tc>
      </w:tr>
      <w:tr>
        <w:tc>
          <w:tcPr>
            <w:tcW w:type="dxa" w:w="4968"/>
            <w:vAlign w:val="center"/>
          </w:tcPr>
          <w:p>
            <w:pPr>
              <w:spacing w:after="20"/>
            </w:pPr>
            <w:r/>
            <w:r>
              <w:rPr>
                <w:rFonts w:ascii="Aptos" w:hAnsi="Aptos"/>
                <w:b/>
                <w:sz w:val="18"/>
              </w:rPr>
              <w:t>Low</w:t>
            </w:r>
          </w:p>
        </w:tc>
        <w:tc>
          <w:tcPr>
            <w:tcW w:type="dxa" w:w="4968"/>
            <w:vAlign w:val="center"/>
          </w:tcPr>
          <w:p>
            <w:pPr>
              <w:spacing w:after="20"/>
            </w:pPr>
            <w:r/>
            <w:r>
              <w:rPr>
                <w:rFonts w:ascii="Aptos" w:hAnsi="Aptos"/>
                <w:b w:val="0"/>
                <w:sz w:val="18"/>
              </w:rPr>
              <w:t>2</w:t>
            </w:r>
          </w:p>
        </w:tc>
      </w:tr>
    </w:tbl>
    <w:p>
      <w:r>
        <w:t>Scope limitation: the supplied assessment is based on disassembly of compiled Python bytecode, not the original source files. Findings should be confirmed against the exact build and deployment configuration before remediation is considered complete.</w:t>
      </w:r>
    </w:p>
    <w:p>
      <w:pPr>
        <w:pStyle w:val="Heading1"/>
        <w:keepNext/>
      </w:pPr>
      <w:r>
        <w:t>2. Scope and Methodology</w:t>
      </w:r>
    </w:p>
    <w:p>
      <w:r>
        <w:t>Target: BillingApp.exe, described in the source report as a PyInstaller-bundled Flask application.</w:t>
      </w:r>
    </w:p>
    <w:p>
      <w:r>
        <w:t>Reviewed application areas:</w:t>
      </w:r>
    </w:p>
    <w:p>
      <w:pPr>
        <w:pStyle w:val="ListBullet"/>
        <w:spacing w:after="40"/>
      </w:pPr>
      <w:r>
        <w:t>Flask routes and application-layer authentication/authorization logic</w:t>
      </w:r>
    </w:p>
    <w:p>
      <w:pPr>
        <w:pStyle w:val="ListBullet"/>
        <w:spacing w:after="40"/>
      </w:pPr>
      <w:r>
        <w:t>SQLAlchemy models and database access patterns</w:t>
      </w:r>
    </w:p>
    <w:p>
      <w:pPr>
        <w:pStyle w:val="ListBullet"/>
        <w:spacing w:after="40"/>
      </w:pPr>
      <w:r>
        <w:t>PDF generation and invoice download logic</w:t>
      </w:r>
    </w:p>
    <w:p>
      <w:r>
        <w:t>Methodology:</w:t>
      </w:r>
    </w:p>
    <w:p>
      <w:pPr>
        <w:pStyle w:val="ListNumber"/>
        <w:spacing w:after="60"/>
      </w:pPr>
      <w:r>
        <w:t>Static inspection and disassembly of the compiled Python bytecode.</w:t>
      </w:r>
    </w:p>
    <w:p>
      <w:pPr>
        <w:pStyle w:val="ListNumber"/>
        <w:spacing w:after="60"/>
      </w:pPr>
      <w:r>
        <w:t>Review of route handlers, session usage, credential initialization, configuration, and error handling.</w:t>
      </w:r>
    </w:p>
    <w:p>
      <w:pPr>
        <w:pStyle w:val="ListNumber"/>
        <w:spacing w:after="60"/>
      </w:pPr>
      <w:r>
        <w:t>Assessment of identified behavior against relevant CWE and OWASP categories as cited in the supplied report.</w:t>
      </w:r>
    </w:p>
    <w:p>
      <w:r>
        <w:t>Third-party libraries (including Flask, SQLAlchemy, and ReportLab) were excluded from the custom-code review. The supplied report notes that the original source files were not available and that inline comments could not be recovered from the bytecode.</w:t>
      </w:r>
    </w:p>
    <w:p>
      <w:pPr>
        <w:pStyle w:val="Heading1"/>
        <w:keepNext/>
      </w:pPr>
      <w:r>
        <w:t>3. Findings Overview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b/>
                <w:color w:val="FFFFFF"/>
                <w:sz w:val="18"/>
              </w:rPr>
              <w:t>ID</w:t>
            </w:r>
          </w:p>
        </w:tc>
        <w:tc>
          <w:tcPr>
            <w:tcW w:type="dxa" w:w="2484"/>
            <w:vAlign w:val="center"/>
            <w:shd w:fill="17365D"/>
          </w:tcPr>
          <w:p>
            <w:pPr>
              <w:spacing w:after="20"/>
            </w:pPr>
            <w:r/>
            <w:r>
              <w:rPr>
                <w:rFonts w:ascii="Aptos" w:hAnsi="Aptos"/>
                <w:b/>
                <w:color w:val="FFFFFF"/>
                <w:sz w:val="18"/>
              </w:rPr>
              <w:t>Finding</w:t>
            </w:r>
          </w:p>
        </w:tc>
        <w:tc>
          <w:tcPr>
            <w:tcW w:type="dxa" w:w="2484"/>
            <w:vAlign w:val="center"/>
            <w:shd w:fill="17365D"/>
          </w:tcPr>
          <w:p>
            <w:pPr>
              <w:spacing w:after="20"/>
            </w:pPr>
            <w:r/>
            <w:r>
              <w:rPr>
                <w:rFonts w:ascii="Aptos" w:hAnsi="Aptos"/>
                <w:b/>
                <w:color w:val="FFFFFF"/>
                <w:sz w:val="18"/>
              </w:rPr>
              <w:t>Severity</w:t>
            </w:r>
          </w:p>
        </w:tc>
        <w:tc>
          <w:tcPr>
            <w:tcW w:type="dxa" w:w="2484"/>
            <w:vAlign w:val="center"/>
            <w:shd w:fill="17365D"/>
          </w:tcPr>
          <w:p>
            <w:pPr>
              <w:spacing w:after="20"/>
            </w:pPr>
            <w:r/>
            <w:r>
              <w:rPr>
                <w:rFonts w:ascii="Aptos" w:hAnsi="Aptos"/>
                <w:b/>
                <w:color w:val="FFFFFF"/>
                <w:sz w:val="18"/>
              </w:rPr>
              <w:t>Category</w:t>
            </w:r>
          </w:p>
        </w:tc>
      </w:tr>
      <w:tr>
        <w:tc>
          <w:tcPr>
            <w:tcW w:type="dxa" w:w="2484"/>
            <w:vAlign w:val="center"/>
          </w:tcPr>
          <w:p>
            <w:pPr>
              <w:spacing w:after="20"/>
            </w:pPr>
            <w:r/>
            <w:r>
              <w:rPr>
                <w:rFonts w:ascii="Aptos" w:hAnsi="Aptos"/>
                <w:b/>
                <w:sz w:val="17"/>
              </w:rPr>
              <w:t>C1</w:t>
            </w:r>
          </w:p>
        </w:tc>
        <w:tc>
          <w:tcPr>
            <w:tcW w:type="dxa" w:w="2484"/>
            <w:vAlign w:val="center"/>
          </w:tcPr>
          <w:p>
            <w:pPr>
              <w:spacing w:after="20"/>
            </w:pPr>
            <w:r/>
            <w:r>
              <w:rPr>
                <w:rFonts w:ascii="Aptos" w:hAnsi="Aptos"/>
                <w:b w:val="0"/>
                <w:sz w:val="17"/>
              </w:rPr>
              <w:t>Business endpoints lack authentication/authorization checks</w:t>
            </w:r>
          </w:p>
        </w:tc>
        <w:tc>
          <w:tcPr>
            <w:tcW w:type="dxa" w:w="2484"/>
            <w:vAlign w:val="center"/>
            <w:shd w:fill="F4CCCC"/>
          </w:tcPr>
          <w:p>
            <w:pPr>
              <w:spacing w:after="20"/>
            </w:pPr>
            <w:r/>
            <w:r>
              <w:rPr>
                <w:rFonts w:ascii="Aptos" w:hAnsi="Aptos"/>
                <w:b w:val="0"/>
                <w:sz w:val="17"/>
              </w:rPr>
              <w:t>Critical</w:t>
            </w:r>
          </w:p>
        </w:tc>
        <w:tc>
          <w:tcPr>
            <w:tcW w:type="dxa" w:w="2484"/>
            <w:vAlign w:val="center"/>
          </w:tcPr>
          <w:p>
            <w:pPr>
              <w:spacing w:after="20"/>
            </w:pPr>
            <w:r/>
            <w:r>
              <w:rPr>
                <w:rFonts w:ascii="Aptos" w:hAnsi="Aptos"/>
                <w:b w:val="0"/>
                <w:sz w:val="17"/>
              </w:rPr>
              <w:t>OWASP A01</w:t>
            </w:r>
          </w:p>
        </w:tc>
      </w:tr>
      <w:tr>
        <w:tc>
          <w:tcPr>
            <w:tcW w:type="dxa" w:w="2484"/>
            <w:vAlign w:val="center"/>
          </w:tcPr>
          <w:p>
            <w:pPr>
              <w:spacing w:after="20"/>
            </w:pPr>
            <w:r/>
            <w:r>
              <w:rPr>
                <w:rFonts w:ascii="Aptos" w:hAnsi="Aptos"/>
                <w:b/>
                <w:sz w:val="17"/>
              </w:rPr>
              <w:t>C2</w:t>
            </w:r>
          </w:p>
        </w:tc>
        <w:tc>
          <w:tcPr>
            <w:tcW w:type="dxa" w:w="2484"/>
            <w:vAlign w:val="center"/>
          </w:tcPr>
          <w:p>
            <w:pPr>
              <w:spacing w:after="20"/>
            </w:pPr>
            <w:r/>
            <w:r>
              <w:rPr>
                <w:rFonts w:ascii="Aptos" w:hAnsi="Aptos"/>
                <w:b w:val="0"/>
                <w:sz w:val="17"/>
              </w:rPr>
              <w:t>Hardcoded Flask SECRET_KEY</w:t>
            </w:r>
          </w:p>
        </w:tc>
        <w:tc>
          <w:tcPr>
            <w:tcW w:type="dxa" w:w="2484"/>
            <w:vAlign w:val="center"/>
            <w:shd w:fill="F4CCCC"/>
          </w:tcPr>
          <w:p>
            <w:pPr>
              <w:spacing w:after="20"/>
            </w:pPr>
            <w:r/>
            <w:r>
              <w:rPr>
                <w:rFonts w:ascii="Aptos" w:hAnsi="Aptos"/>
                <w:b w:val="0"/>
                <w:sz w:val="17"/>
              </w:rPr>
              <w:t>Critical</w:t>
            </w:r>
          </w:p>
        </w:tc>
        <w:tc>
          <w:tcPr>
            <w:tcW w:type="dxa" w:w="2484"/>
            <w:vAlign w:val="center"/>
          </w:tcPr>
          <w:p>
            <w:pPr>
              <w:spacing w:after="20"/>
            </w:pPr>
            <w:r/>
            <w:r>
              <w:rPr>
                <w:rFonts w:ascii="Aptos" w:hAnsi="Aptos"/>
                <w:b w:val="0"/>
                <w:sz w:val="17"/>
              </w:rPr>
              <w:t>Session integrity / secret management</w:t>
            </w:r>
          </w:p>
        </w:tc>
      </w:tr>
      <w:tr>
        <w:tc>
          <w:tcPr>
            <w:tcW w:type="dxa" w:w="2484"/>
            <w:vAlign w:val="center"/>
          </w:tcPr>
          <w:p>
            <w:pPr>
              <w:spacing w:after="20"/>
            </w:pPr>
            <w:r/>
            <w:r>
              <w:rPr>
                <w:rFonts w:ascii="Aptos" w:hAnsi="Aptos"/>
                <w:b/>
                <w:sz w:val="17"/>
              </w:rPr>
              <w:t>H1</w:t>
            </w:r>
          </w:p>
        </w:tc>
        <w:tc>
          <w:tcPr>
            <w:tcW w:type="dxa" w:w="2484"/>
            <w:vAlign w:val="center"/>
          </w:tcPr>
          <w:p>
            <w:pPr>
              <w:spacing w:after="20"/>
            </w:pPr>
            <w:r/>
            <w:r>
              <w:rPr>
                <w:rFonts w:ascii="Aptos" w:hAnsi="Aptos"/>
                <w:b w:val="0"/>
                <w:sz w:val="17"/>
              </w:rPr>
              <w:t>Hardcoded default administrator credentials</w:t>
            </w:r>
          </w:p>
        </w:tc>
        <w:tc>
          <w:tcPr>
            <w:tcW w:type="dxa" w:w="2484"/>
            <w:vAlign w:val="center"/>
            <w:shd w:fill="FCE4D6"/>
          </w:tcPr>
          <w:p>
            <w:pPr>
              <w:spacing w:after="20"/>
            </w:pPr>
            <w:r/>
            <w:r>
              <w:rPr>
                <w:rFonts w:ascii="Aptos" w:hAnsi="Aptos"/>
                <w:b w:val="0"/>
                <w:sz w:val="17"/>
              </w:rPr>
              <w:t>High</w:t>
            </w:r>
          </w:p>
        </w:tc>
        <w:tc>
          <w:tcPr>
            <w:tcW w:type="dxa" w:w="2484"/>
            <w:vAlign w:val="center"/>
          </w:tcPr>
          <w:p>
            <w:pPr>
              <w:spacing w:after="20"/>
            </w:pPr>
            <w:r/>
            <w:r>
              <w:rPr>
                <w:rFonts w:ascii="Aptos" w:hAnsi="Aptos"/>
                <w:b w:val="0"/>
                <w:sz w:val="17"/>
              </w:rPr>
              <w:t>CWE-798</w:t>
            </w:r>
          </w:p>
        </w:tc>
      </w:tr>
      <w:tr>
        <w:tc>
          <w:tcPr>
            <w:tcW w:type="dxa" w:w="2484"/>
            <w:vAlign w:val="center"/>
          </w:tcPr>
          <w:p>
            <w:pPr>
              <w:spacing w:after="20"/>
            </w:pPr>
            <w:r/>
            <w:r>
              <w:rPr>
                <w:rFonts w:ascii="Aptos" w:hAnsi="Aptos"/>
                <w:b/>
                <w:sz w:val="17"/>
              </w:rPr>
              <w:t>H2</w:t>
            </w:r>
          </w:p>
        </w:tc>
        <w:tc>
          <w:tcPr>
            <w:tcW w:type="dxa" w:w="2484"/>
            <w:vAlign w:val="center"/>
          </w:tcPr>
          <w:p>
            <w:pPr>
              <w:spacing w:after="20"/>
            </w:pPr>
            <w:r/>
            <w:r>
              <w:rPr>
                <w:rFonts w:ascii="Aptos" w:hAnsi="Aptos"/>
                <w:b w:val="0"/>
                <w:sz w:val="17"/>
              </w:rPr>
              <w:t>Flask debug mode enabled</w:t>
            </w:r>
          </w:p>
        </w:tc>
        <w:tc>
          <w:tcPr>
            <w:tcW w:type="dxa" w:w="2484"/>
            <w:vAlign w:val="center"/>
            <w:shd w:fill="FCE4D6"/>
          </w:tcPr>
          <w:p>
            <w:pPr>
              <w:spacing w:after="20"/>
            </w:pPr>
            <w:r/>
            <w:r>
              <w:rPr>
                <w:rFonts w:ascii="Aptos" w:hAnsi="Aptos"/>
                <w:b w:val="0"/>
                <w:sz w:val="17"/>
              </w:rPr>
              <w:t>High</w:t>
            </w:r>
          </w:p>
        </w:tc>
        <w:tc>
          <w:tcPr>
            <w:tcW w:type="dxa" w:w="2484"/>
            <w:vAlign w:val="center"/>
          </w:tcPr>
          <w:p>
            <w:pPr>
              <w:spacing w:after="20"/>
            </w:pPr>
            <w:r/>
            <w:r>
              <w:rPr>
                <w:rFonts w:ascii="Aptos" w:hAnsi="Aptos"/>
                <w:b w:val="0"/>
                <w:sz w:val="17"/>
              </w:rPr>
              <w:t>Debugger exposure / possible RCE if reachable</w:t>
            </w:r>
          </w:p>
        </w:tc>
      </w:tr>
      <w:tr>
        <w:tc>
          <w:tcPr>
            <w:tcW w:type="dxa" w:w="2484"/>
            <w:vAlign w:val="center"/>
          </w:tcPr>
          <w:p>
            <w:pPr>
              <w:spacing w:after="20"/>
            </w:pPr>
            <w:r/>
            <w:r>
              <w:rPr>
                <w:rFonts w:ascii="Aptos" w:hAnsi="Aptos"/>
                <w:b/>
                <w:sz w:val="17"/>
              </w:rPr>
              <w:t>H3</w:t>
            </w:r>
          </w:p>
        </w:tc>
        <w:tc>
          <w:tcPr>
            <w:tcW w:type="dxa" w:w="2484"/>
            <w:vAlign w:val="center"/>
          </w:tcPr>
          <w:p>
            <w:pPr>
              <w:spacing w:after="20"/>
            </w:pPr>
            <w:r/>
            <w:r>
              <w:rPr>
                <w:rFonts w:ascii="Aptos" w:hAnsi="Aptos"/>
                <w:b w:val="0"/>
                <w:sz w:val="17"/>
              </w:rPr>
              <w:t>Weak minimum password length</w:t>
            </w:r>
          </w:p>
        </w:tc>
        <w:tc>
          <w:tcPr>
            <w:tcW w:type="dxa" w:w="2484"/>
            <w:vAlign w:val="center"/>
            <w:shd w:fill="FCE4D6"/>
          </w:tcPr>
          <w:p>
            <w:pPr>
              <w:spacing w:after="20"/>
            </w:pPr>
            <w:r/>
            <w:r>
              <w:rPr>
                <w:rFonts w:ascii="Aptos" w:hAnsi="Aptos"/>
                <w:b w:val="0"/>
                <w:sz w:val="17"/>
              </w:rPr>
              <w:t>High</w:t>
            </w:r>
          </w:p>
        </w:tc>
        <w:tc>
          <w:tcPr>
            <w:tcW w:type="dxa" w:w="2484"/>
            <w:vAlign w:val="center"/>
          </w:tcPr>
          <w:p>
            <w:pPr>
              <w:spacing w:after="20"/>
            </w:pPr>
            <w:r/>
            <w:r>
              <w:rPr>
                <w:rFonts w:ascii="Aptos" w:hAnsi="Aptos"/>
                <w:b w:val="0"/>
                <w:sz w:val="17"/>
              </w:rPr>
              <w:t>CWE-521</w:t>
            </w:r>
          </w:p>
        </w:tc>
      </w:tr>
      <w:tr>
        <w:tc>
          <w:tcPr>
            <w:tcW w:type="dxa" w:w="2484"/>
            <w:vAlign w:val="center"/>
          </w:tcPr>
          <w:p>
            <w:pPr>
              <w:spacing w:after="20"/>
            </w:pPr>
            <w:r/>
            <w:r>
              <w:rPr>
                <w:rFonts w:ascii="Aptos" w:hAnsi="Aptos"/>
                <w:b/>
                <w:sz w:val="17"/>
              </w:rPr>
              <w:t>M1</w:t>
            </w:r>
          </w:p>
        </w:tc>
        <w:tc>
          <w:tcPr>
            <w:tcW w:type="dxa" w:w="2484"/>
            <w:vAlign w:val="center"/>
          </w:tcPr>
          <w:p>
            <w:pPr>
              <w:spacing w:after="20"/>
            </w:pPr>
            <w:r/>
            <w:r>
              <w:rPr>
                <w:rFonts w:ascii="Aptos" w:hAnsi="Aptos"/>
                <w:b w:val="0"/>
                <w:sz w:val="17"/>
              </w:rPr>
              <w:t>No login rate limiting</w:t>
            </w:r>
          </w:p>
        </w:tc>
        <w:tc>
          <w:tcPr>
            <w:tcW w:type="dxa" w:w="2484"/>
            <w:vAlign w:val="center"/>
            <w:shd w:fill="FFF2CC"/>
          </w:tcPr>
          <w:p>
            <w:pPr>
              <w:spacing w:after="20"/>
            </w:pPr>
            <w:r/>
            <w:r>
              <w:rPr>
                <w:rFonts w:ascii="Aptos" w:hAnsi="Aptos"/>
                <w:b w:val="0"/>
                <w:sz w:val="17"/>
              </w:rPr>
              <w:t>Medium</w:t>
            </w:r>
          </w:p>
        </w:tc>
        <w:tc>
          <w:tcPr>
            <w:tcW w:type="dxa" w:w="2484"/>
            <w:vAlign w:val="center"/>
          </w:tcPr>
          <w:p>
            <w:pPr>
              <w:spacing w:after="20"/>
            </w:pPr>
            <w:r/>
            <w:r>
              <w:rPr>
                <w:rFonts w:ascii="Aptos" w:hAnsi="Aptos"/>
                <w:b w:val="0"/>
                <w:sz w:val="17"/>
              </w:rPr>
              <w:t>Brute-force protection</w:t>
            </w:r>
          </w:p>
        </w:tc>
      </w:tr>
      <w:tr>
        <w:tc>
          <w:tcPr>
            <w:tcW w:type="dxa" w:w="2484"/>
            <w:vAlign w:val="center"/>
          </w:tcPr>
          <w:p>
            <w:pPr>
              <w:spacing w:after="20"/>
            </w:pPr>
            <w:r/>
            <w:r>
              <w:rPr>
                <w:rFonts w:ascii="Aptos" w:hAnsi="Aptos"/>
                <w:b/>
                <w:sz w:val="17"/>
              </w:rPr>
              <w:t>M2</w:t>
            </w:r>
          </w:p>
        </w:tc>
        <w:tc>
          <w:tcPr>
            <w:tcW w:type="dxa" w:w="2484"/>
            <w:vAlign w:val="center"/>
          </w:tcPr>
          <w:p>
            <w:pPr>
              <w:spacing w:after="20"/>
            </w:pPr>
            <w:r/>
            <w:r>
              <w:rPr>
                <w:rFonts w:ascii="Aptos" w:hAnsi="Aptos"/>
                <w:b w:val="0"/>
                <w:sz w:val="17"/>
              </w:rPr>
              <w:t>No CSRF protection on state-changing routes</w:t>
            </w:r>
          </w:p>
        </w:tc>
        <w:tc>
          <w:tcPr>
            <w:tcW w:type="dxa" w:w="2484"/>
            <w:vAlign w:val="center"/>
            <w:shd w:fill="FFF2CC"/>
          </w:tcPr>
          <w:p>
            <w:pPr>
              <w:spacing w:after="20"/>
            </w:pPr>
            <w:r/>
            <w:r>
              <w:rPr>
                <w:rFonts w:ascii="Aptos" w:hAnsi="Aptos"/>
                <w:b w:val="0"/>
                <w:sz w:val="17"/>
              </w:rPr>
              <w:t>Medium</w:t>
            </w:r>
          </w:p>
        </w:tc>
        <w:tc>
          <w:tcPr>
            <w:tcW w:type="dxa" w:w="2484"/>
            <w:vAlign w:val="center"/>
          </w:tcPr>
          <w:p>
            <w:pPr>
              <w:spacing w:after="20"/>
            </w:pPr>
            <w:r/>
            <w:r>
              <w:rPr>
                <w:rFonts w:ascii="Aptos" w:hAnsi="Aptos"/>
                <w:b w:val="0"/>
                <w:sz w:val="17"/>
              </w:rPr>
              <w:t>CSRF</w:t>
            </w:r>
          </w:p>
        </w:tc>
      </w:tr>
      <w:tr>
        <w:tc>
          <w:tcPr>
            <w:tcW w:type="dxa" w:w="2484"/>
            <w:vAlign w:val="center"/>
          </w:tcPr>
          <w:p>
            <w:pPr>
              <w:spacing w:after="20"/>
            </w:pPr>
            <w:r/>
            <w:r>
              <w:rPr>
                <w:rFonts w:ascii="Aptos" w:hAnsi="Aptos"/>
                <w:b/>
                <w:sz w:val="17"/>
              </w:rPr>
              <w:t>M3</w:t>
            </w:r>
          </w:p>
        </w:tc>
        <w:tc>
          <w:tcPr>
            <w:tcW w:type="dxa" w:w="2484"/>
            <w:vAlign w:val="center"/>
          </w:tcPr>
          <w:p>
            <w:pPr>
              <w:spacing w:after="20"/>
            </w:pPr>
            <w:r/>
            <w:r>
              <w:rPr>
                <w:rFonts w:ascii="Aptos" w:hAnsi="Aptos"/>
                <w:b w:val="0"/>
                <w:sz w:val="17"/>
              </w:rPr>
              <w:t>Verbose exception messages returned to clients</w:t>
            </w:r>
          </w:p>
        </w:tc>
        <w:tc>
          <w:tcPr>
            <w:tcW w:type="dxa" w:w="2484"/>
            <w:vAlign w:val="center"/>
            <w:shd w:fill="FFF2CC"/>
          </w:tcPr>
          <w:p>
            <w:pPr>
              <w:spacing w:after="20"/>
            </w:pPr>
            <w:r/>
            <w:r>
              <w:rPr>
                <w:rFonts w:ascii="Aptos" w:hAnsi="Aptos"/>
                <w:b w:val="0"/>
                <w:sz w:val="17"/>
              </w:rPr>
              <w:t>Medium</w:t>
            </w:r>
          </w:p>
        </w:tc>
        <w:tc>
          <w:tcPr>
            <w:tcW w:type="dxa" w:w="2484"/>
            <w:vAlign w:val="center"/>
          </w:tcPr>
          <w:p>
            <w:pPr>
              <w:spacing w:after="20"/>
            </w:pPr>
            <w:r/>
            <w:r>
              <w:rPr>
                <w:rFonts w:ascii="Aptos" w:hAnsi="Aptos"/>
                <w:b w:val="0"/>
                <w:sz w:val="17"/>
              </w:rPr>
              <w:t>Information disclosure</w:t>
            </w:r>
          </w:p>
        </w:tc>
      </w:tr>
      <w:tr>
        <w:tc>
          <w:tcPr>
            <w:tcW w:type="dxa" w:w="2484"/>
            <w:vAlign w:val="center"/>
          </w:tcPr>
          <w:p>
            <w:pPr>
              <w:spacing w:after="20"/>
            </w:pPr>
            <w:r/>
            <w:r>
              <w:rPr>
                <w:rFonts w:ascii="Aptos" w:hAnsi="Aptos"/>
                <w:b/>
                <w:sz w:val="17"/>
              </w:rPr>
              <w:t>L1</w:t>
            </w:r>
          </w:p>
        </w:tc>
        <w:tc>
          <w:tcPr>
            <w:tcW w:type="dxa" w:w="2484"/>
            <w:vAlign w:val="center"/>
          </w:tcPr>
          <w:p>
            <w:pPr>
              <w:spacing w:after="20"/>
            </w:pPr>
            <w:r/>
            <w:r>
              <w:rPr>
                <w:rFonts w:ascii="Aptos" w:hAnsi="Aptos"/>
                <w:b w:val="0"/>
                <w:sz w:val="17"/>
              </w:rPr>
              <w:t>CORS allowlist is hardcoded to localhost development origins</w:t>
            </w:r>
          </w:p>
        </w:tc>
        <w:tc>
          <w:tcPr>
            <w:tcW w:type="dxa" w:w="2484"/>
            <w:vAlign w:val="center"/>
            <w:shd w:fill="D9EAD3"/>
          </w:tcPr>
          <w:p>
            <w:pPr>
              <w:spacing w:after="20"/>
            </w:pPr>
            <w:r/>
            <w:r>
              <w:rPr>
                <w:rFonts w:ascii="Aptos" w:hAnsi="Aptos"/>
                <w:b w:val="0"/>
                <w:sz w:val="17"/>
              </w:rPr>
              <w:t>Low</w:t>
            </w:r>
          </w:p>
        </w:tc>
        <w:tc>
          <w:tcPr>
            <w:tcW w:type="dxa" w:w="2484"/>
            <w:vAlign w:val="center"/>
          </w:tcPr>
          <w:p>
            <w:pPr>
              <w:spacing w:after="20"/>
            </w:pPr>
            <w:r/>
            <w:r>
              <w:rPr>
                <w:rFonts w:ascii="Aptos" w:hAnsi="Aptos"/>
                <w:b w:val="0"/>
                <w:sz w:val="17"/>
              </w:rPr>
              <w:t>Configuration hardening</w:t>
            </w:r>
          </w:p>
        </w:tc>
      </w:tr>
      <w:tr>
        <w:tc>
          <w:tcPr>
            <w:tcW w:type="dxa" w:w="2484"/>
            <w:vAlign w:val="center"/>
          </w:tcPr>
          <w:p>
            <w:pPr>
              <w:spacing w:after="20"/>
            </w:pPr>
            <w:r/>
            <w:r>
              <w:rPr>
                <w:rFonts w:ascii="Aptos" w:hAnsi="Aptos"/>
                <w:b/>
                <w:sz w:val="17"/>
              </w:rPr>
              <w:t>L2</w:t>
            </w:r>
          </w:p>
        </w:tc>
        <w:tc>
          <w:tcPr>
            <w:tcW w:type="dxa" w:w="2484"/>
            <w:vAlign w:val="center"/>
          </w:tcPr>
          <w:p>
            <w:pPr>
              <w:spacing w:after="20"/>
            </w:pPr>
            <w:r/>
            <w:r>
              <w:rPr>
                <w:rFonts w:ascii="Aptos" w:hAnsi="Aptos"/>
                <w:b w:val="0"/>
                <w:sz w:val="17"/>
              </w:rPr>
              <w:t>SQLite database and invoice PDFs are stored unencrypted</w:t>
            </w:r>
          </w:p>
        </w:tc>
        <w:tc>
          <w:tcPr>
            <w:tcW w:type="dxa" w:w="2484"/>
            <w:vAlign w:val="center"/>
            <w:shd w:fill="D9EAD3"/>
          </w:tcPr>
          <w:p>
            <w:pPr>
              <w:spacing w:after="20"/>
            </w:pPr>
            <w:r/>
            <w:r>
              <w:rPr>
                <w:rFonts w:ascii="Aptos" w:hAnsi="Aptos"/>
                <w:b w:val="0"/>
                <w:sz w:val="17"/>
              </w:rPr>
              <w:t>Low</w:t>
            </w:r>
          </w:p>
        </w:tc>
        <w:tc>
          <w:tcPr>
            <w:tcW w:type="dxa" w:w="2484"/>
            <w:vAlign w:val="center"/>
          </w:tcPr>
          <w:p>
            <w:pPr>
              <w:spacing w:after="20"/>
            </w:pPr>
            <w:r/>
            <w:r>
              <w:rPr>
                <w:rFonts w:ascii="Aptos" w:hAnsi="Aptos"/>
                <w:b w:val="0"/>
                <w:sz w:val="17"/>
              </w:rPr>
              <w:t>Data at rest</w:t>
            </w:r>
          </w:p>
        </w:tc>
      </w:tr>
    </w:tbl>
    <w:p>
      <w:pPr>
        <w:pStyle w:val="Heading1"/>
        <w:keepNext/>
      </w:pPr>
      <w:r>
        <w:t>4. Critical Findings</w:t>
      </w:r>
    </w:p>
    <w:p>
      <w:pPr>
        <w:pStyle w:val="Heading2"/>
        <w:keepNext/>
      </w:pPr>
      <w:r>
        <w:t>C1. Broken access control — business endpoints have no authentication check</w:t>
      </w:r>
    </w:p>
    <w:p>
      <w:pPr>
        <w:spacing w:after="80"/>
      </w:pPr>
      <w:r>
        <w:rPr>
          <w:b/>
          <w:color w:val="AA2D2D"/>
        </w:rPr>
        <w:t>Severity: Critical   |   Classification: OWASP A01: Broken Access Control; missing authorization / IDOR</w:t>
      </w:r>
    </w:p>
    <w:p>
      <w:pPr>
        <w:pStyle w:val="Heading3"/>
        <w:keepNext/>
      </w:pPr>
      <w:r>
        <w:t>Evidence / Observation</w:t>
      </w:r>
    </w:p>
    <w:p>
      <w:r>
        <w:t>The supplied report states that login, logout, and get_current_user are the only functions referencing the Flask session. The following business routes reportedly perform no session/authentication check: GET /api/bills (list/search), POST /api/bills (create), GET /api/bills/&lt;bill_id&gt; (read by ID), and GET /api/bills/&lt;bill_id&gt;/download (download invoice PDF).</w:t>
      </w:r>
    </w:p>
    <w:p>
      <w:pPr>
        <w:pStyle w:val="Heading3"/>
        <w:keepNext/>
      </w:pPr>
      <w:r>
        <w:t>Security Impact</w:t>
      </w:r>
    </w:p>
    <w:p>
      <w:r>
        <w:t>A person who can reach the server may be able to list, read, create, or download billing data without logging in. Accessing another user's bill by changing the bill ID is an IDOR-style access-control failure when ownership is not checked.</w:t>
      </w:r>
    </w:p>
    <w:p>
      <w:pPr>
        <w:pStyle w:val="Heading3"/>
        <w:keepNext/>
      </w:pPr>
      <w:r>
        <w:t>Recommendation</w:t>
      </w:r>
    </w:p>
    <w:p>
      <w:r>
        <w:t>Enforce authentication on every /api/bills* route and perform object-level authorization for each bill. Return HTTP 401 when unauthenticated and HTTP 403 or 404 when the authenticated user is not authorized. Filter database queries by both bill ID and the authenticated user's ownership/tenant identifier. Apply the same checks to downloads, updates, and deletes.</w:t>
      </w:r>
    </w:p>
    <w:p>
      <w:pPr>
        <w:pStyle w:val="Heading2"/>
        <w:keepNext/>
      </w:pPr>
      <w:r>
        <w:t>C2. Hardcoded Flask SECRET_KEY</w:t>
      </w:r>
    </w:p>
    <w:p>
      <w:pPr>
        <w:spacing w:after="80"/>
      </w:pPr>
      <w:r>
        <w:rPr>
          <w:b/>
          <w:color w:val="AA2D2D"/>
        </w:rPr>
        <w:t>Severity: Critical   |   Classification: Session integrity / secret management</w:t>
      </w:r>
    </w:p>
    <w:p>
      <w:pPr>
        <w:pStyle w:val="Heading3"/>
        <w:keepNext/>
      </w:pPr>
      <w:r>
        <w:t>Evidence / Observation</w:t>
      </w:r>
    </w:p>
    <w:p>
      <w:r>
        <w:t>The supplied report identifies the embedded value `billing-system-secret-key-2026` as the Flask SECRET_KEY used to sign session cookies.</w:t>
      </w:r>
    </w:p>
    <w:p>
      <w:pPr>
        <w:pStyle w:val="Heading3"/>
        <w:keepNext/>
      </w:pPr>
      <w:r>
        <w:t>Security Impact</w:t>
      </w:r>
    </w:p>
    <w:p>
      <w:r>
        <w:t>Because the same secret is embedded in distributed copies of the executable, a person with the binary may be able to forge session cookies and impersonate users, depending on the session data and application logic. This can undermine authentication even after route checks are added.</w:t>
      </w:r>
    </w:p>
    <w:p>
      <w:pPr>
        <w:pStyle w:val="Heading3"/>
        <w:keepNext/>
      </w:pPr>
      <w:r>
        <w:t>Recommendation</w:t>
      </w:r>
    </w:p>
    <w:p>
      <w:r>
        <w:t>Generate a cryptographically random secret per installation (for example, using secrets.token_hex(32)), persist it outside the executable with restrictive file permissions, and rotate the exposed value. Invalidate existing sessions after rotation. Do not ship a fixed production secret.</w:t>
      </w:r>
    </w:p>
    <w:p>
      <w:pPr>
        <w:pStyle w:val="Heading1"/>
        <w:keepNext/>
      </w:pPr>
      <w:r>
        <w:t>5. High Findings</w:t>
      </w:r>
    </w:p>
    <w:p>
      <w:pPr>
        <w:pStyle w:val="Heading2"/>
        <w:keepNext/>
      </w:pPr>
      <w:r>
        <w:t>H1. Hardcoded default administrator credentials</w:t>
      </w:r>
    </w:p>
    <w:p>
      <w:pPr>
        <w:spacing w:after="80"/>
      </w:pPr>
      <w:r>
        <w:rPr>
          <w:b/>
          <w:color w:val="AA2D2D"/>
        </w:rPr>
        <w:t>Severity: High   |   Classification: CWE-798 — Use of Hard-coded Credentials</w:t>
      </w:r>
    </w:p>
    <w:p>
      <w:pPr>
        <w:pStyle w:val="Heading3"/>
        <w:keepNext/>
      </w:pPr>
      <w:r>
        <w:t>Evidence / Observation</w:t>
      </w:r>
    </w:p>
    <w:p>
      <w:r>
        <w:t>The supplied report states that init_db() automatically seeds an administrator account when one does not already exist, using the same embedded credentials across deployments. The report lists username `admin` and password `admin123`.</w:t>
      </w:r>
    </w:p>
    <w:p>
      <w:pPr>
        <w:pStyle w:val="Heading3"/>
        <w:keepNext/>
      </w:pPr>
      <w:r>
        <w:t>Security Impact</w:t>
      </w:r>
    </w:p>
    <w:p>
      <w:r>
        <w:t>If the default account remains enabled, anyone who knows the shared credentials may be able to access the application as an administrator.</w:t>
      </w:r>
    </w:p>
    <w:p>
      <w:pPr>
        <w:pStyle w:val="Heading3"/>
        <w:keepNext/>
      </w:pPr>
      <w:r>
        <w:t>Recommendation</w:t>
      </w:r>
    </w:p>
    <w:p>
      <w:r>
        <w:t>Remove the fixed default account or generate a unique, high-entropy initial password at first run. Require the operator to change it immediately, and rotate credentials in existing deployments.</w:t>
      </w:r>
    </w:p>
    <w:p>
      <w:pPr>
        <w:pStyle w:val="Heading2"/>
        <w:keepNext/>
      </w:pPr>
      <w:r>
        <w:t>H2. Flask debug mode enabled</w:t>
      </w:r>
    </w:p>
    <w:p>
      <w:pPr>
        <w:spacing w:after="80"/>
      </w:pPr>
      <w:r>
        <w:rPr>
          <w:b/>
          <w:color w:val="AA2D2D"/>
        </w:rPr>
        <w:t>Severity: High   |   Classification: Debug configuration exposure</w:t>
      </w:r>
    </w:p>
    <w:p>
      <w:pPr>
        <w:pStyle w:val="Heading3"/>
        <w:keepNext/>
      </w:pPr>
      <w:r>
        <w:t>Evidence / Observation</w:t>
      </w:r>
    </w:p>
    <w:p>
      <w:r>
        <w:t>The supplied report identifies `debug=True` in the application startup call. It notes that the app binds to 127.0.0.1 by default, but port forwarding, reverse proxies, or multi-user systems may change the exposure.</w:t>
      </w:r>
    </w:p>
    <w:p>
      <w:pPr>
        <w:pStyle w:val="Heading3"/>
        <w:keepNext/>
      </w:pPr>
      <w:r>
        <w:t>Security Impact</w:t>
      </w:r>
    </w:p>
    <w:p>
      <w:r>
        <w:t>If the interactive Werkzeug debugger is reachable after an unhandled exception, it may expose sensitive diagnostic information and can create a serious code-execution risk.</w:t>
      </w:r>
    </w:p>
    <w:p>
      <w:pPr>
        <w:pStyle w:val="Heading3"/>
        <w:keepNext/>
      </w:pPr>
      <w:r>
        <w:t>Recommendation</w:t>
      </w:r>
    </w:p>
    <w:p>
      <w:r>
        <w:t>Set debug=False in distributed or production builds. Use controlled server-side logging and a production WSGI server. Verify that the debugger is not reachable through forwarded ports or a reverse proxy.</w:t>
      </w:r>
    </w:p>
    <w:p>
      <w:pPr>
        <w:pStyle w:val="Heading2"/>
        <w:keepNext/>
      </w:pPr>
      <w:r>
        <w:t>H3. Weak password policy</w:t>
      </w:r>
    </w:p>
    <w:p>
      <w:pPr>
        <w:spacing w:after="80"/>
      </w:pPr>
      <w:r>
        <w:rPr>
          <w:b/>
          <w:color w:val="AA2D2D"/>
        </w:rPr>
        <w:t>Severity: High   |   Classification: CWE-521 — Weak Password Requirements</w:t>
      </w:r>
    </w:p>
    <w:p>
      <w:pPr>
        <w:pStyle w:val="Heading3"/>
        <w:keepNext/>
      </w:pPr>
      <w:r>
        <w:t>Evidence / Observation</w:t>
      </w:r>
    </w:p>
    <w:p>
      <w:r>
        <w:t>The supplied report states that registration accepts passwords of at least four characters.</w:t>
      </w:r>
    </w:p>
    <w:p>
      <w:pPr>
        <w:pStyle w:val="Heading3"/>
        <w:keepNext/>
      </w:pPr>
      <w:r>
        <w:t>Security Impact</w:t>
      </w:r>
    </w:p>
    <w:p>
      <w:r>
        <w:t>Short and predictable passwords are easier to guess, particularly when login attempts are not rate-limited.</w:t>
      </w:r>
    </w:p>
    <w:p>
      <w:pPr>
        <w:pStyle w:val="Heading3"/>
        <w:keepNext/>
      </w:pPr>
      <w:r>
        <w:t>Recommendation</w:t>
      </w:r>
    </w:p>
    <w:p>
      <w:r>
        <w:t>Adopt a stronger password policy appropriate to the application, block common/compromised passwords, and combine it with rate limiting. The supplied report recommends a minimum of 12 characters or a common-password blocklist.</w:t>
      </w:r>
    </w:p>
    <w:p>
      <w:pPr>
        <w:pStyle w:val="Heading1"/>
        <w:keepNext/>
      </w:pPr>
      <w:r>
        <w:t>6. Medium Findings</w:t>
      </w:r>
    </w:p>
    <w:p>
      <w:pPr>
        <w:pStyle w:val="Heading2"/>
        <w:keepNext/>
      </w:pPr>
      <w:r>
        <w:t>M1. No rate limiting or brute-force protection on login</w:t>
      </w:r>
    </w:p>
    <w:p>
      <w:pPr>
        <w:spacing w:after="80"/>
      </w:pPr>
      <w:r>
        <w:rPr>
          <w:b/>
          <w:color w:val="AF6E00"/>
        </w:rPr>
        <w:t>Severity: Medium   |   Classification: Authentication hardening</w:t>
      </w:r>
    </w:p>
    <w:p>
      <w:pPr>
        <w:pStyle w:val="Heading3"/>
        <w:keepNext/>
      </w:pPr>
      <w:r>
        <w:t>Evidence / Observation</w:t>
      </w:r>
    </w:p>
    <w:p>
      <w:r>
        <w:t>The supplied report states that /api/login has no throttling, lockout, or delay logic.</w:t>
      </w:r>
    </w:p>
    <w:p>
      <w:pPr>
        <w:pStyle w:val="Heading3"/>
        <w:keepNext/>
      </w:pPr>
      <w:r>
        <w:t>Security Impact</w:t>
      </w:r>
    </w:p>
    <w:p>
      <w:r>
        <w:t>Repeated online password guesses may be practical, particularly in combination with weak passwords and a known administrator username.</w:t>
      </w:r>
    </w:p>
    <w:p>
      <w:pPr>
        <w:pStyle w:val="Heading3"/>
        <w:keepNext/>
      </w:pPr>
      <w:r>
        <w:t>Recommendation</w:t>
      </w:r>
    </w:p>
    <w:p>
      <w:r>
        <w:t>Implement rate limiting and progressive delays or a carefully designed temporary lockout. Monitor repeated failures and avoid controls that enable easy denial of service against user accounts.</w:t>
      </w:r>
    </w:p>
    <w:p>
      <w:pPr>
        <w:pStyle w:val="Heading2"/>
        <w:keepNext/>
      </w:pPr>
      <w:r>
        <w:t>M2. No CSRF protection on state-changing routes</w:t>
      </w:r>
    </w:p>
    <w:p>
      <w:pPr>
        <w:spacing w:after="80"/>
      </w:pPr>
      <w:r>
        <w:rPr>
          <w:b/>
          <w:color w:val="AF6E00"/>
        </w:rPr>
        <w:t>Severity: Medium   |   Classification: Cross-Site Request Forgery</w:t>
      </w:r>
    </w:p>
    <w:p>
      <w:pPr>
        <w:pStyle w:val="Heading3"/>
        <w:keepNext/>
      </w:pPr>
      <w:r>
        <w:t>Evidence / Observation</w:t>
      </w:r>
    </w:p>
    <w:p>
      <w:r>
        <w:t>The supplied report identifies /api/login, /api/register, /api/logout, and POST /api/bills as relying on session cookies without CSRF tokens. It notes that the current CORS allowlist is limited to localhost development origins.</w:t>
      </w:r>
    </w:p>
    <w:p>
      <w:pPr>
        <w:pStyle w:val="Heading3"/>
        <w:keepNext/>
      </w:pPr>
      <w:r>
        <w:t>Security Impact</w:t>
      </w:r>
    </w:p>
    <w:p>
      <w:r>
        <w:t>If a browser sends session cookies with a forged cross-site request, a victim may be induced to perform an unintended action, depending on cookie settings and request handling.</w:t>
      </w:r>
    </w:p>
    <w:p>
      <w:pPr>
        <w:pStyle w:val="Heading3"/>
        <w:keepNext/>
      </w:pPr>
      <w:r>
        <w:t>Recommendation</w:t>
      </w:r>
    </w:p>
    <w:p>
      <w:r>
        <w:t>Add CSRF tokens to state-changing routes and configure cookie SameSite attributes appropriately. Do not treat CORS as a substitute for CSRF protection.</w:t>
      </w:r>
    </w:p>
    <w:p>
      <w:pPr>
        <w:pStyle w:val="Heading2"/>
        <w:keepNext/>
      </w:pPr>
      <w:r>
        <w:t>M3. Verbose exception messages returned to clients</w:t>
      </w:r>
    </w:p>
    <w:p>
      <w:pPr>
        <w:spacing w:after="80"/>
      </w:pPr>
      <w:r>
        <w:rPr>
          <w:b/>
          <w:color w:val="AF6E00"/>
        </w:rPr>
        <w:t>Severity: Medium   |   Classification: Information disclosure</w:t>
      </w:r>
    </w:p>
    <w:p>
      <w:pPr>
        <w:pStyle w:val="Heading3"/>
        <w:keepNext/>
      </w:pPr>
      <w:r>
        <w:t>Evidence / Observation</w:t>
      </w:r>
    </w:p>
    <w:p>
      <w:r>
        <w:t>The supplied report states that create_bill and download_bill_pdf return raw exception text to callers, for example, a message containing `str(e)`.</w:t>
      </w:r>
    </w:p>
    <w:p>
      <w:pPr>
        <w:pStyle w:val="Heading3"/>
        <w:keepNext/>
      </w:pPr>
      <w:r>
        <w:t>Security Impact</w:t>
      </w:r>
    </w:p>
    <w:p>
      <w:r>
        <w:t>Error responses may reveal internal paths, implementation details, or library information that assists further attacks.</w:t>
      </w:r>
    </w:p>
    <w:p>
      <w:pPr>
        <w:pStyle w:val="Heading3"/>
        <w:keepNext/>
      </w:pPr>
      <w:r>
        <w:t>Recommendation</w:t>
      </w:r>
    </w:p>
    <w:p>
      <w:r>
        <w:t>Log detailed exceptions on the server with appropriate access controls. Return generic error messages and a suitable HTTP status code to clients.</w:t>
      </w:r>
    </w:p>
    <w:p>
      <w:pPr>
        <w:pStyle w:val="Heading1"/>
        <w:keepNext/>
      </w:pPr>
      <w:r>
        <w:t>7. Low Findings</w:t>
      </w:r>
    </w:p>
    <w:p>
      <w:pPr>
        <w:pStyle w:val="Heading2"/>
        <w:keepNext/>
      </w:pPr>
      <w:r>
        <w:t>L1. CORS origins hardcoded to localhost development URLs</w:t>
      </w:r>
    </w:p>
    <w:p>
      <w:pPr>
        <w:spacing w:after="80"/>
      </w:pPr>
      <w:r>
        <w:rPr>
          <w:b/>
          <w:color w:val="AF6E00"/>
        </w:rPr>
        <w:t>Severity: Low   |   Classification: CORS configuration hardening</w:t>
      </w:r>
    </w:p>
    <w:p>
      <w:pPr>
        <w:pStyle w:val="Heading3"/>
        <w:keepNext/>
      </w:pPr>
      <w:r>
        <w:t>Evidence / Observation</w:t>
      </w:r>
    </w:p>
    <w:p>
      <w:r>
        <w:t>The supplied report identifies a fixed allowlist containing localhost and 127.0.0.1 development origins with supports_credentials=True. The report does not classify the current allowlist itself as vulnerable.</w:t>
      </w:r>
    </w:p>
    <w:p>
      <w:pPr>
        <w:pStyle w:val="Heading3"/>
        <w:keepNext/>
      </w:pPr>
      <w:r>
        <w:t>Security Impact</w:t>
      </w:r>
    </w:p>
    <w:p>
      <w:r>
        <w:t>The configuration could become unsafe if the allowlist is later broadened carelessly, particularly if credentialed requests are allowed from untrusted origins.</w:t>
      </w:r>
    </w:p>
    <w:p>
      <w:pPr>
        <w:pStyle w:val="Heading3"/>
        <w:keepNext/>
      </w:pPr>
      <w:r>
        <w:t>Recommendation</w:t>
      </w:r>
    </w:p>
    <w:p>
      <w:r>
        <w:t>Maintain an explicit allowlist of trusted origins for each deployment. Do not combine credentialed requests with a wildcard origin. Re-test CORS response headers after configuration changes.</w:t>
      </w:r>
    </w:p>
    <w:p>
      <w:pPr>
        <w:pStyle w:val="Heading2"/>
        <w:keepNext/>
      </w:pPr>
      <w:r>
        <w:t>L2. SQLite database and generated invoice PDFs stored unencrypted</w:t>
      </w:r>
    </w:p>
    <w:p>
      <w:pPr>
        <w:spacing w:after="80"/>
      </w:pPr>
      <w:r>
        <w:rPr>
          <w:b/>
          <w:color w:val="AF6E00"/>
        </w:rPr>
        <w:t>Severity: Low   |   Classification: Data-at-rest protection</w:t>
      </w:r>
    </w:p>
    <w:p>
      <w:pPr>
        <w:pStyle w:val="Heading3"/>
        <w:keepNext/>
      </w:pPr>
      <w:r>
        <w:t>Evidence / Observation</w:t>
      </w:r>
    </w:p>
    <w:p>
      <w:r>
        <w:t>The supplied report states that billing.db and generated invoice PDFs are stored in a data/ directory beside the executable without application-level encryption.</w:t>
      </w:r>
    </w:p>
    <w:p>
      <w:pPr>
        <w:pStyle w:val="Heading3"/>
        <w:keepNext/>
      </w:pPr>
      <w:r>
        <w:t>Security Impact</w:t>
      </w:r>
    </w:p>
    <w:p>
      <w:r>
        <w:t>Anyone who gains filesystem access or obtains a copy of the installation directory may be able to read customer names, email addresses, phone numbers, addresses, and billing totals.</w:t>
      </w:r>
    </w:p>
    <w:p>
      <w:pPr>
        <w:pStyle w:val="Heading3"/>
        <w:keepNext/>
      </w:pPr>
      <w:r>
        <w:t>Recommendation</w:t>
      </w:r>
    </w:p>
    <w:p>
      <w:r>
        <w:t>Use operating-system disk encryption as a baseline, restrict directory and file permissions, protect backups, and consider encryption of sensitive fields or files where the deployment threat model requires it.</w:t>
      </w:r>
    </w:p>
    <w:p>
      <w:pPr>
        <w:pStyle w:val="Heading1"/>
        <w:keepNext/>
      </w:pPr>
      <w:r>
        <w:t>8. Controls Reported as Implemented Correctly</w:t>
      </w:r>
    </w:p>
    <w:p>
      <w:pPr>
        <w:pStyle w:val="ListBullet"/>
      </w:pPr>
      <w:r>
        <w:rPr>
          <w:b/>
        </w:rPr>
        <w:t xml:space="preserve">Password storage: </w:t>
      </w:r>
      <w:r>
        <w:t>The report identifies use of werkzeug.security.generate_password_hash and check_password_hash, providing salted password hashing rather than plaintext or a weak fast hash.</w:t>
      </w:r>
    </w:p>
    <w:p>
      <w:pPr>
        <w:pStyle w:val="ListBullet"/>
      </w:pPr>
      <w:r>
        <w:rPr>
          <w:b/>
        </w:rPr>
        <w:t xml:space="preserve">SQL injection resistance: </w:t>
      </w:r>
      <w:r>
        <w:t>Database access reportedly uses SQLAlchemy ORM methods such as filter_by and ilike; the review found no raw or string-interpolated SQL in the reviewed code.</w:t>
      </w:r>
    </w:p>
    <w:p>
      <w:pPr>
        <w:pStyle w:val="ListBullet"/>
      </w:pPr>
      <w:r>
        <w:rPr>
          <w:b/>
        </w:rPr>
        <w:t xml:space="preserve">Dangerous Python primitives: </w:t>
      </w:r>
      <w:r>
        <w:t>The review reports no use of eval, exec, or pickle in the reviewed application code.</w:t>
      </w:r>
    </w:p>
    <w:p>
      <w:pPr>
        <w:pStyle w:val="ListBullet"/>
      </w:pPr>
      <w:r>
        <w:rPr>
          <w:b/>
        </w:rPr>
        <w:t xml:space="preserve">Static file serving: </w:t>
      </w:r>
      <w:r>
        <w:t>The frontend is served with Flask's send_from_directory, which provides path handling protections in modern Werkzeug versions.</w:t>
      </w:r>
    </w:p>
    <w:p>
      <w:pPr>
        <w:pStyle w:val="Heading1"/>
        <w:keepNext/>
      </w:pPr>
      <w:r>
        <w:t>9. Prioritized Remediation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Priority</w:t>
            </w:r>
          </w:p>
        </w:tc>
        <w:tc>
          <w:tcPr>
            <w:tcW w:type="dxa" w:w="4968"/>
            <w:vAlign w:val="center"/>
            <w:shd w:fill="17365D"/>
          </w:tcPr>
          <w:p>
            <w:pPr>
              <w:spacing w:after="20"/>
            </w:pPr>
            <w:r/>
            <w:r>
              <w:rPr>
                <w:rFonts w:ascii="Aptos" w:hAnsi="Aptos"/>
                <w:b/>
                <w:color w:val="FFFFFF"/>
                <w:sz w:val="18"/>
              </w:rPr>
              <w:t>Action</w:t>
            </w:r>
          </w:p>
        </w:tc>
      </w:tr>
      <w:tr>
        <w:tc>
          <w:tcPr>
            <w:tcW w:type="dxa" w:w="4968"/>
            <w:vAlign w:val="center"/>
            <w:shd w:fill="F4CCCC"/>
          </w:tcPr>
          <w:p>
            <w:pPr>
              <w:spacing w:after="20"/>
            </w:pPr>
            <w:r/>
            <w:r>
              <w:rPr>
                <w:rFonts w:ascii="Aptos" w:hAnsi="Aptos"/>
                <w:b/>
                <w:sz w:val="18"/>
              </w:rPr>
              <w:t>P0</w:t>
            </w:r>
          </w:p>
        </w:tc>
        <w:tc>
          <w:tcPr>
            <w:tcW w:type="dxa" w:w="4968"/>
            <w:vAlign w:val="center"/>
          </w:tcPr>
          <w:p>
            <w:pPr>
              <w:spacing w:after="20"/>
            </w:pPr>
            <w:r/>
            <w:r>
              <w:rPr>
                <w:rFonts w:ascii="Aptos" w:hAnsi="Aptos"/>
                <w:b w:val="0"/>
                <w:sz w:val="17"/>
              </w:rPr>
              <w:t>Enforce authentication and object-level authorization on every business-data endpoint, including invoice downloads (C1).</w:t>
            </w:r>
          </w:p>
        </w:tc>
      </w:tr>
      <w:tr>
        <w:tc>
          <w:tcPr>
            <w:tcW w:type="dxa" w:w="4968"/>
            <w:vAlign w:val="center"/>
            <w:shd w:fill="F4CCCC"/>
          </w:tcPr>
          <w:p>
            <w:pPr>
              <w:spacing w:after="20"/>
            </w:pPr>
            <w:r/>
            <w:r>
              <w:rPr>
                <w:rFonts w:ascii="Aptos" w:hAnsi="Aptos"/>
                <w:b/>
                <w:sz w:val="18"/>
              </w:rPr>
              <w:t>P0</w:t>
            </w:r>
          </w:p>
        </w:tc>
        <w:tc>
          <w:tcPr>
            <w:tcW w:type="dxa" w:w="4968"/>
            <w:vAlign w:val="center"/>
          </w:tcPr>
          <w:p>
            <w:pPr>
              <w:spacing w:after="20"/>
            </w:pPr>
            <w:r/>
            <w:r>
              <w:rPr>
                <w:rFonts w:ascii="Aptos" w:hAnsi="Aptos"/>
                <w:b w:val="0"/>
                <w:sz w:val="17"/>
              </w:rPr>
              <w:t>Replace the hardcoded Flask SECRET_KEY with a per-install random secret; rotate the exposed key and invalidate sessions (C2).</w:t>
            </w:r>
          </w:p>
        </w:tc>
      </w:tr>
      <w:tr>
        <w:tc>
          <w:tcPr>
            <w:tcW w:type="dxa" w:w="4968"/>
            <w:vAlign w:val="center"/>
            <w:shd w:fill="FCE4D6"/>
          </w:tcPr>
          <w:p>
            <w:pPr>
              <w:spacing w:after="20"/>
            </w:pPr>
            <w:r/>
            <w:r>
              <w:rPr>
                <w:rFonts w:ascii="Aptos" w:hAnsi="Aptos"/>
                <w:b/>
                <w:sz w:val="18"/>
              </w:rPr>
              <w:t>P1</w:t>
            </w:r>
          </w:p>
        </w:tc>
        <w:tc>
          <w:tcPr>
            <w:tcW w:type="dxa" w:w="4968"/>
            <w:vAlign w:val="center"/>
          </w:tcPr>
          <w:p>
            <w:pPr>
              <w:spacing w:after="20"/>
            </w:pPr>
            <w:r/>
            <w:r>
              <w:rPr>
                <w:rFonts w:ascii="Aptos" w:hAnsi="Aptos"/>
                <w:b w:val="0"/>
                <w:sz w:val="17"/>
              </w:rPr>
              <w:t>Remove or randomize the seeded admin/admin123 account (H1).</w:t>
            </w:r>
          </w:p>
        </w:tc>
      </w:tr>
      <w:tr>
        <w:tc>
          <w:tcPr>
            <w:tcW w:type="dxa" w:w="4968"/>
            <w:vAlign w:val="center"/>
            <w:shd w:fill="FCE4D6"/>
          </w:tcPr>
          <w:p>
            <w:pPr>
              <w:spacing w:after="20"/>
            </w:pPr>
            <w:r/>
            <w:r>
              <w:rPr>
                <w:rFonts w:ascii="Aptos" w:hAnsi="Aptos"/>
                <w:b/>
                <w:sz w:val="18"/>
              </w:rPr>
              <w:t>P1</w:t>
            </w:r>
          </w:p>
        </w:tc>
        <w:tc>
          <w:tcPr>
            <w:tcW w:type="dxa" w:w="4968"/>
            <w:vAlign w:val="center"/>
          </w:tcPr>
          <w:p>
            <w:pPr>
              <w:spacing w:after="20"/>
            </w:pPr>
            <w:r/>
            <w:r>
              <w:rPr>
                <w:rFonts w:ascii="Aptos" w:hAnsi="Aptos"/>
                <w:b w:val="0"/>
                <w:sz w:val="17"/>
              </w:rPr>
              <w:t>Disable debug mode in distributed builds and use a production server (H2).</w:t>
            </w:r>
          </w:p>
        </w:tc>
      </w:tr>
      <w:tr>
        <w:tc>
          <w:tcPr>
            <w:tcW w:type="dxa" w:w="4968"/>
            <w:vAlign w:val="center"/>
            <w:shd w:fill="FCE4D6"/>
          </w:tcPr>
          <w:p>
            <w:pPr>
              <w:spacing w:after="20"/>
            </w:pPr>
            <w:r/>
            <w:r>
              <w:rPr>
                <w:rFonts w:ascii="Aptos" w:hAnsi="Aptos"/>
                <w:b/>
                <w:sz w:val="18"/>
              </w:rPr>
              <w:t>P1</w:t>
            </w:r>
          </w:p>
        </w:tc>
        <w:tc>
          <w:tcPr>
            <w:tcW w:type="dxa" w:w="4968"/>
            <w:vAlign w:val="center"/>
          </w:tcPr>
          <w:p>
            <w:pPr>
              <w:spacing w:after="20"/>
            </w:pPr>
            <w:r/>
            <w:r>
              <w:rPr>
                <w:rFonts w:ascii="Aptos" w:hAnsi="Aptos"/>
                <w:b w:val="0"/>
                <w:sz w:val="17"/>
              </w:rPr>
              <w:t>Strengthen password requirements and add login rate limiting (H3, M1).</w:t>
            </w:r>
          </w:p>
        </w:tc>
      </w:tr>
      <w:tr>
        <w:tc>
          <w:tcPr>
            <w:tcW w:type="dxa" w:w="4968"/>
            <w:vAlign w:val="center"/>
            <w:shd w:fill="FFF2CC"/>
          </w:tcPr>
          <w:p>
            <w:pPr>
              <w:spacing w:after="20"/>
            </w:pPr>
            <w:r/>
            <w:r>
              <w:rPr>
                <w:rFonts w:ascii="Aptos" w:hAnsi="Aptos"/>
                <w:b/>
                <w:sz w:val="18"/>
              </w:rPr>
              <w:t>P2</w:t>
            </w:r>
          </w:p>
        </w:tc>
        <w:tc>
          <w:tcPr>
            <w:tcW w:type="dxa" w:w="4968"/>
            <w:vAlign w:val="center"/>
          </w:tcPr>
          <w:p>
            <w:pPr>
              <w:spacing w:after="20"/>
            </w:pPr>
            <w:r/>
            <w:r>
              <w:rPr>
                <w:rFonts w:ascii="Aptos" w:hAnsi="Aptos"/>
                <w:b w:val="0"/>
                <w:sz w:val="17"/>
              </w:rPr>
              <w:t>Add CSRF protection to state-changing routes (M2).</w:t>
            </w:r>
          </w:p>
        </w:tc>
      </w:tr>
      <w:tr>
        <w:tc>
          <w:tcPr>
            <w:tcW w:type="dxa" w:w="4968"/>
            <w:vAlign w:val="center"/>
            <w:shd w:fill="FFF2CC"/>
          </w:tcPr>
          <w:p>
            <w:pPr>
              <w:spacing w:after="20"/>
            </w:pPr>
            <w:r/>
            <w:r>
              <w:rPr>
                <w:rFonts w:ascii="Aptos" w:hAnsi="Aptos"/>
                <w:b/>
                <w:sz w:val="18"/>
              </w:rPr>
              <w:t>P2</w:t>
            </w:r>
          </w:p>
        </w:tc>
        <w:tc>
          <w:tcPr>
            <w:tcW w:type="dxa" w:w="4968"/>
            <w:vAlign w:val="center"/>
          </w:tcPr>
          <w:p>
            <w:pPr>
              <w:spacing w:after="20"/>
            </w:pPr>
            <w:r/>
            <w:r>
              <w:rPr>
                <w:rFonts w:ascii="Aptos" w:hAnsi="Aptos"/>
                <w:b w:val="0"/>
                <w:sz w:val="17"/>
              </w:rPr>
              <w:t>Return generic client errors and retain detailed exceptions only in server logs (M3).</w:t>
            </w:r>
          </w:p>
        </w:tc>
      </w:tr>
      <w:tr>
        <w:tc>
          <w:tcPr>
            <w:tcW w:type="dxa" w:w="4968"/>
            <w:vAlign w:val="center"/>
            <w:shd w:fill="D9EAD3"/>
          </w:tcPr>
          <w:p>
            <w:pPr>
              <w:spacing w:after="20"/>
            </w:pPr>
            <w:r/>
            <w:r>
              <w:rPr>
                <w:rFonts w:ascii="Aptos" w:hAnsi="Aptos"/>
                <w:b/>
                <w:sz w:val="18"/>
              </w:rPr>
              <w:t>P3</w:t>
            </w:r>
          </w:p>
        </w:tc>
        <w:tc>
          <w:tcPr>
            <w:tcW w:type="dxa" w:w="4968"/>
            <w:vAlign w:val="center"/>
          </w:tcPr>
          <w:p>
            <w:pPr>
              <w:spacing w:after="20"/>
            </w:pPr>
            <w:r/>
            <w:r>
              <w:rPr>
                <w:rFonts w:ascii="Aptos" w:hAnsi="Aptos"/>
                <w:b w:val="0"/>
                <w:sz w:val="17"/>
              </w:rPr>
              <w:t>Review CORS allowlists and protect database/PDF files at rest (L1, L2).</w:t>
            </w:r>
          </w:p>
        </w:tc>
      </w:tr>
    </w:tbl>
    <w:p>
      <w:pPr>
        <w:pStyle w:val="Heading1"/>
        <w:keepNext/>
      </w:pPr>
      <w:r>
        <w:t>10. Validation Checklist</w:t>
      </w:r>
    </w:p>
    <w:p>
      <w:pPr>
        <w:pStyle w:val="ListBullet"/>
        <w:spacing w:after="40"/>
      </w:pPr>
      <w:r>
        <w:t>☐ Unauthenticated requests to all /api/bills* endpoints return 401 and disclose no billing data.</w:t>
      </w:r>
    </w:p>
    <w:p>
      <w:pPr>
        <w:pStyle w:val="ListBullet"/>
        <w:spacing w:after="40"/>
      </w:pPr>
      <w:r>
        <w:t>☐ User B cannot read or download a bill owned by User A by changing the bill ID.</w:t>
      </w:r>
    </w:p>
    <w:p>
      <w:pPr>
        <w:pStyle w:val="ListBullet"/>
        <w:spacing w:after="40"/>
      </w:pPr>
      <w:r>
        <w:t>☐ User B cannot update or delete User A's bill, if those operations exist.</w:t>
      </w:r>
    </w:p>
    <w:p>
      <w:pPr>
        <w:pStyle w:val="ListBullet"/>
        <w:spacing w:after="40"/>
      </w:pPr>
      <w:r>
        <w:t>☐ No shared default administrator credentials are present in a fresh installation.</w:t>
      </w:r>
    </w:p>
    <w:p>
      <w:pPr>
        <w:pStyle w:val="ListBullet"/>
        <w:spacing w:after="40"/>
      </w:pPr>
      <w:r>
        <w:t>☐ Session cookies cannot be forged using a secret recovered from the executable.</w:t>
      </w:r>
    </w:p>
    <w:p>
      <w:pPr>
        <w:pStyle w:val="ListBullet"/>
        <w:spacing w:after="40"/>
      </w:pPr>
      <w:r>
        <w:t>☐ Debug mode and the interactive debugger are disabled in the distributed build.</w:t>
      </w:r>
    </w:p>
    <w:p>
      <w:pPr>
        <w:pStyle w:val="ListBullet"/>
        <w:spacing w:after="40"/>
      </w:pPr>
      <w:r>
        <w:t>☐ Repeated failed login attempts are throttled and monitored.</w:t>
      </w:r>
    </w:p>
    <w:p>
      <w:pPr>
        <w:pStyle w:val="ListBullet"/>
        <w:spacing w:after="40"/>
      </w:pPr>
      <w:r>
        <w:t>☐ CSRF protection is verified for state-changing routes.</w:t>
      </w:r>
    </w:p>
    <w:p>
      <w:pPr>
        <w:pStyle w:val="ListBullet"/>
        <w:spacing w:after="40"/>
      </w:pPr>
      <w:r>
        <w:t>☐ Client-facing errors do not disclose stack traces, paths, or raw exception details.</w:t>
      </w:r>
    </w:p>
    <w:p>
      <w:pPr>
        <w:pStyle w:val="ListBullet"/>
        <w:spacing w:after="40"/>
      </w:pPr>
      <w:r>
        <w:t>☐ CORS permits only the intended trusted origins.</w:t>
      </w:r>
    </w:p>
    <w:p>
      <w:pPr>
        <w:pStyle w:val="ListBullet"/>
        <w:spacing w:after="40"/>
      </w:pPr>
      <w:r>
        <w:t>☐ Database, invoice files, and backups have appropriate filesystem access controls and encryption protections.</w:t>
      </w:r>
    </w:p>
    <w:p>
      <w:pPr>
        <w:pStyle w:val="Heading1"/>
        <w:keepNext/>
      </w:pPr>
      <w:r>
        <w:t>11. Limitations and Disclaimer</w:t>
      </w:r>
    </w:p>
    <w:p>
      <w:r>
        <w:t>This document is a structured presentation of the findings and conclusions in the supplied BillingApp security review PDF. It does not represent a new independent execution or dynamic test of the application. The source review was based on disassembled compiled bytecode because the original source was not available. Confirm findings against the exact application build, configuration, and deployment environment. Severity labels are retained from the supplied assessment.</w:t>
      </w:r>
    </w:p>
    <w:p>
      <w:pPr>
        <w:pStyle w:val="Heading1"/>
        <w:keepNext/>
      </w:pPr>
      <w:r>
        <w:t>Appendix A — Key Evidence Strings</w:t>
      </w:r>
    </w:p>
    <w:p>
      <w:pPr>
        <w:spacing w:after="60"/>
        <w:ind w:left="360"/>
      </w:pPr>
      <w:r>
        <w:rPr>
          <w:rFonts w:ascii="Consolas" w:hAnsi="Consolas"/>
          <w:color w:val="4B4B4B"/>
          <w:sz w:val="17"/>
        </w:rPr>
        <w:t>SECRET_KEY = 'billing-system-secret-key-2026'</w:t>
      </w:r>
    </w:p>
    <w:p>
      <w:pPr>
        <w:spacing w:after="60"/>
        <w:ind w:left="360"/>
      </w:pPr>
      <w:r>
        <w:rPr>
          <w:rFonts w:ascii="Consolas" w:hAnsi="Consolas"/>
          <w:color w:val="4B4B4B"/>
          <w:sz w:val="17"/>
        </w:rPr>
        <w:t>username: admin</w:t>
      </w:r>
    </w:p>
    <w:p>
      <w:pPr>
        <w:spacing w:after="60"/>
        <w:ind w:left="360"/>
      </w:pPr>
      <w:r>
        <w:rPr>
          <w:rFonts w:ascii="Consolas" w:hAnsi="Consolas"/>
          <w:color w:val="4B4B4B"/>
          <w:sz w:val="17"/>
        </w:rPr>
        <w:t>password: admin123</w:t>
      </w:r>
    </w:p>
    <w:p>
      <w:pPr>
        <w:spacing w:after="60"/>
        <w:ind w:left="360"/>
      </w:pPr>
      <w:r>
        <w:rPr>
          <w:rFonts w:ascii="Consolas" w:hAnsi="Consolas"/>
          <w:color w:val="4B4B4B"/>
          <w:sz w:val="17"/>
        </w:rPr>
        <w:t>app.run(host='127.0.0.1', port=port, debug=True)</w:t>
      </w:r>
    </w:p>
    <w:p>
      <w:pPr>
        <w:spacing w:after="60"/>
        <w:ind w:left="360"/>
      </w:pPr>
      <w:r>
        <w:rPr>
          <w:rFonts w:ascii="Consolas" w:hAnsi="Consolas"/>
          <w:color w:val="4B4B4B"/>
          <w:sz w:val="17"/>
        </w:rPr>
        <w:t>Password must be at least 4 characters long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382"/>
        <w:sz w:val="16"/>
      </w:rPr>
      <w:t>Confidential • Security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382"/>
        <w:sz w:val="16"/>
      </w:rPr>
      <w:t>BILLINGAPP  |  SOURCE CODE SECURITY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65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096"/>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36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