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2"/>
      </w:pPr>
      <w:r>
        <w:rPr>
          <w:b/>
          <w:color w:val="1F497D"/>
          <w:sz w:val="28"/>
        </w:rPr>
        <w:t>Analysis of Revenue Growth:</w:t>
      </w:r>
    </w:p>
    <w:p>
      <w:pPr>
        <w:spacing w:after="120"/>
        <w:ind w:left="360" w:hanging="360"/>
      </w:pPr>
      <w:r>
        <w:rPr>
          <w:sz w:val="22"/>
        </w:rPr>
        <w:t xml:space="preserve">• </w:t>
      </w:r>
      <w:r>
        <w:rPr>
          <w:sz w:val="22"/>
        </w:rPr>
        <w:t>The change of -41.35% in Revenue Growth from 2018-2019 may be caused by decreased sales and affects the company's ability to expand.</w:t>
      </w:r>
    </w:p>
    <w:p>
      <w:pPr>
        <w:spacing w:after="120"/>
        <w:ind w:left="360" w:hanging="360"/>
      </w:pPr>
      <w:r>
        <w:rPr>
          <w:sz w:val="22"/>
        </w:rPr>
        <w:t xml:space="preserve">• </w:t>
      </w:r>
      <w:r>
        <w:rPr>
          <w:sz w:val="22"/>
        </w:rPr>
        <w:t>The change of 78.92% in Revenue Growth from 2020-2021 may be caused by recovery from previous declines and affects investor confidence positively.</w:t>
      </w:r>
    </w:p>
    <w:p>
      <w:pPr>
        <w:spacing w:after="120"/>
        <w:ind w:left="360" w:hanging="360"/>
      </w:pPr>
      <w:r>
        <w:rPr>
          <w:sz w:val="22"/>
        </w:rPr>
        <w:t xml:space="preserve">• </w:t>
      </w:r>
      <w:r>
        <w:rPr>
          <w:sz w:val="22"/>
        </w:rPr>
        <w:t>The change of 226.60% in Revenue Growth from 2021-2022 may be caused by significant market expansion and affects the company's market position favorably.</w:t>
      </w:r>
    </w:p>
    <w:p>
      <w:pPr>
        <w:spacing w:after="120"/>
        <w:ind w:left="360" w:hanging="360"/>
      </w:pPr>
      <w:r>
        <w:rPr>
          <w:sz w:val="22"/>
        </w:rPr>
        <w:t xml:space="preserve">• </w:t>
      </w:r>
      <w:r>
        <w:rPr>
          <w:sz w:val="22"/>
        </w:rPr>
        <w:t>Financial Risk:</w:t>
      </w:r>
    </w:p>
    <w:p>
      <w:pPr>
        <w:spacing w:after="120"/>
        <w:ind w:left="360" w:hanging="360"/>
      </w:pPr>
      <w:r>
        <w:rPr>
          <w:sz w:val="22"/>
        </w:rPr>
        <w:t xml:space="preserve">• </w:t>
      </w:r>
      <w:r>
        <w:rPr>
          <w:sz w:val="22"/>
        </w:rPr>
        <w:t>The volatility in Revenue Growth, with drastic fluctuations from -83.45% to 226.60%, may indicate instability in revenue streams, posing a risk to consistent financial performance.</w:t>
      </w:r>
    </w:p>
    <w:p>
      <w:pPr>
        <w:pStyle w:val="Heading2"/>
      </w:pPr>
      <w:r>
        <w:rPr>
          <w:b/>
          <w:color w:val="1F497D"/>
          <w:sz w:val="28"/>
        </w:rPr>
        <w:t>Analysis of EBITDA Margins:</w:t>
      </w:r>
    </w:p>
    <w:p>
      <w:pPr>
        <w:spacing w:after="120"/>
        <w:ind w:left="360" w:hanging="360"/>
      </w:pPr>
      <w:r>
        <w:rPr>
          <w:sz w:val="22"/>
        </w:rPr>
        <w:t xml:space="preserve">• </w:t>
      </w:r>
      <w:r>
        <w:rPr>
          <w:sz w:val="22"/>
        </w:rPr>
        <w:t>The change to 0.00% in EBITDA Margin in 2021-2022 may be caused by breakeven operational efficiency and affects profitability assessment.</w:t>
      </w:r>
    </w:p>
    <w:p>
      <w:pPr>
        <w:spacing w:after="120"/>
        <w:ind w:left="360" w:hanging="360"/>
      </w:pPr>
      <w:r>
        <w:rPr>
          <w:sz w:val="22"/>
        </w:rPr>
        <w:t xml:space="preserve">• </w:t>
      </w:r>
      <w:r>
        <w:rPr>
          <w:sz w:val="22"/>
        </w:rPr>
        <w:t>The change to 4.24% in EBITDA Margin in 2022-2023 may be caused by improved cost management and affects the company's operational profitability positively.</w:t>
      </w:r>
    </w:p>
    <w:p>
      <w:pPr>
        <w:spacing w:after="120"/>
        <w:ind w:left="360" w:hanging="360"/>
      </w:pPr>
      <w:r>
        <w:rPr>
          <w:sz w:val="22"/>
        </w:rPr>
        <w:t xml:space="preserve">• </w:t>
      </w:r>
      <w:r>
        <w:rPr>
          <w:sz w:val="22"/>
        </w:rPr>
        <w:t>Financial Risk:</w:t>
      </w:r>
    </w:p>
    <w:p>
      <w:pPr>
        <w:spacing w:after="120"/>
        <w:ind w:left="360" w:hanging="360"/>
      </w:pPr>
      <w:r>
        <w:rPr>
          <w:sz w:val="22"/>
        </w:rPr>
        <w:t xml:space="preserve">• </w:t>
      </w:r>
      <w:r>
        <w:rPr>
          <w:sz w:val="22"/>
        </w:rPr>
        <w:t>The initial absence of EBITDA Margin data and a low margin of 4.24% in 2022-2023 may indicate challenges in achieving sustainable profitability, posing a risk to long-term financial health.</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