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1"/>
      </w:pPr>
      <w:r>
        <w:rPr>
          <w:b/>
          <w:sz w:val="32"/>
        </w:rPr>
        <w:t>Ratios Analysis</w:t>
      </w:r>
    </w:p>
    <w:p>
      <w:pPr>
        <w:pStyle w:val="Heading2"/>
      </w:pPr>
      <w:r>
        <w:rPr>
          <w:b/>
          <w:color w:val="1F497D"/>
          <w:sz w:val="28"/>
        </w:rPr>
        <w:t>Analysis of Revenue Growth (%):</w:t>
      </w:r>
    </w:p>
    <w:p>
      <w:pPr>
        <w:spacing w:after="120"/>
        <w:ind w:left="360" w:hanging="360"/>
      </w:pPr>
      <w:r>
        <w:rPr>
          <w:sz w:val="22"/>
        </w:rPr>
        <w:t xml:space="preserve">• </w:t>
      </w:r>
      <w:r>
        <w:rPr>
          <w:sz w:val="22"/>
        </w:rPr>
        <w:t>The change -41.35% in parameter Revenue Growth (%) from 2018-2019 may be caused by decreased sales or market demand and affects the company's ability to generate consistent revenue.</w:t>
      </w:r>
    </w:p>
    <w:p>
      <w:pPr>
        <w:spacing w:after="120"/>
        <w:ind w:left="360" w:hanging="360"/>
      </w:pPr>
      <w:r>
        <w:rPr>
          <w:sz w:val="22"/>
        </w:rPr>
        <w:t xml:space="preserve">• </w:t>
      </w:r>
      <w:r>
        <w:rPr>
          <w:sz w:val="22"/>
        </w:rPr>
        <w:t>The change 78.92% in parameter Revenue Growth (%) from 2020-2021 may be caused by recovery from previous downturns and affects the company's potential to regain market position.</w:t>
      </w:r>
    </w:p>
    <w:p>
      <w:pPr>
        <w:spacing w:after="120"/>
        <w:ind w:left="360" w:hanging="360"/>
      </w:pPr>
      <w:r>
        <w:rPr>
          <w:sz w:val="22"/>
        </w:rPr>
        <w:t xml:space="preserve">• </w:t>
      </w:r>
      <w:r>
        <w:rPr>
          <w:sz w:val="22"/>
        </w:rPr>
        <w:t>The change 226.6% in parameter Revenue Growth (%) from 2021-2022 may be caused by significant business expansion or new product launches and affects the company's growth trajectory positively.</w:t>
      </w:r>
    </w:p>
    <w:p>
      <w:pPr>
        <w:spacing w:after="120"/>
        <w:ind w:left="360" w:hanging="360"/>
      </w:pPr>
      <w:r>
        <w:rPr>
          <w:sz w:val="22"/>
        </w:rPr>
        <w:t xml:space="preserve">• </w:t>
      </w:r>
      <w:r>
        <w:rPr>
          <w:sz w:val="22"/>
        </w:rPr>
        <w:t>Financial Risk:</w:t>
      </w:r>
    </w:p>
    <w:p>
      <w:pPr>
        <w:spacing w:after="120"/>
        <w:ind w:left="360" w:hanging="360"/>
      </w:pPr>
      <w:r>
        <w:rPr>
          <w:sz w:val="22"/>
        </w:rPr>
        <w:t xml:space="preserve">• </w:t>
      </w:r>
      <w:r>
        <w:rPr>
          <w:sz w:val="22"/>
        </w:rPr>
        <w:t>The volatility in Revenue Growth (%) over the years, with significant negative and positive swings, indicates potential instability in revenue streams, posing a risk to consistent financial performance and loan repayment capability.</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