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Profit &amp;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Financial Term</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2018-2019</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2019-2020</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2020-2021</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2021-2022</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2022-2023</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2023-24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Nov-2024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pStyle w:val="Heading1"/>
      </w:pPr>
      <w:r>
        <w:t>Analysis</w:t>
      </w:r>
    </w:p>
    <w:p>
      <w:r>
        <w:t>### Trend Identification &amp; Attribution</w:t>
        <w:br/>
        <w:br/>
        <w:t>#### Revenue Trends</w:t>
        <w:br/>
        <w:t>- **Service Revenue:** Exhibits a fluctuating pattern. It starts at 5717.67, dips significantly to 869.28 in the third period, then increases again to end at 7500. This indicates volatile demand or pricing.</w:t>
        <w:br/>
        <w:t>- **Total Revenue:** Corresponds with service revenue, noting a major drop in the third period and climbing back to 8000. This is mainly due to the service revenue changes, as other revenue streams remained unaffected.</w:t>
        <w:br/>
        <w:br/>
        <w:t>#### Expense Trends</w:t>
        <w:br/>
        <w:t>- **Employee Benefits:** Saw a reduction from the first to fourth periods, reaching a low at 458.38, before increasing in later periods.</w:t>
        <w:br/>
        <w:t>- **Other Expenses:** Decreased significantly from 5450.68 to 926.21 in the third period, then gradually increased, ending at 6235.37. Notably correlated with the fluctuating revenue, suggesting cost management in line with operations.</w:t>
        <w:br/>
        <w:br/>
        <w:t>#### Liabilities and Assets</w:t>
        <w:br/>
        <w:t>- Data on specific liabilities and assets is not provided within the dataset, limiting a detailed trend analysis in these categories directly.</w:t>
        <w:br/>
        <w:br/>
        <w:t>#### Cash Flow and Profitability Patterns</w:t>
        <w:br/>
        <w:t>- **EBITDA:** Initially negative, indicating operational losses, but turns positive in later periods, reaching 714.63. Reflects improved operational efficiency and revenue rise.</w:t>
        <w:br/>
        <w:t>- **Finance Costs:** Significantly reduced across periods, contributing to improved profitability metrics.</w:t>
        <w:br/>
        <w:br/>
        <w:t>### Financial Position Overview</w:t>
        <w:br/>
        <w:br/>
        <w:t>#### Overall Health</w:t>
        <w:br/>
        <w:t>- The spikes and dips in revenues and corresponding expenses demonstrate initial instability but lean towards improvement by the last period. Profit before tax turning positive in later periods signifies a healthier financial stance.</w:t>
        <w:br/>
        <w:br/>
        <w:t>#### Stability, Liquidity, and Solvency</w:t>
        <w:br/>
        <w:t>- **Liquidity Ratios:** Demonstrates a decreasing trend from a Current and Quick Ratio of 0.48 to 0.35. Indicates increasing liquidity constraints. Nonetheless, improved profitability towards the end may alleviate longer-term liquidity concerns.</w:t>
        <w:br/>
        <w:t xml:space="preserve">  </w:t>
        <w:br/>
        <w:t>#### Business Growth Trajectory</w:t>
        <w:br/>
        <w:t>- Initial financial shock evident in revenue and expenses flux, balanced towards improvement later, suggesting recovery momentum — overall trend implies potential growth if current trajectory sustains.</w:t>
        <w:br/>
        <w:br/>
        <w:t>### Profitability &amp; Performance Analysis</w:t>
        <w:br/>
        <w:br/>
        <w:t>#### Income and Expense Analysis</w:t>
        <w:br/>
        <w:t>- **Revenue Growth:** Indicated variability, with significant contraction followed by expansion, particularly notable in periods with increased service revenue.</w:t>
        <w:br/>
        <w:t>- **Employee and Other Costs:** Showed volatility in line with revenue shifts, suggesting responsive cost management against income surges and declines.</w:t>
        <w:br/>
        <w:br/>
        <w:t>#### Profit Driven by Revenue Increases</w:t>
        <w:br/>
        <w:t>- Profitability improvements linked to rising service revenue in conjunction with decreased finance costs and efficient cost management, rather than investment activities or extraordinary items.</w:t>
        <w:br/>
        <w:br/>
        <w:t>#### Operating Efficiency</w:t>
        <w:br/>
        <w:t>- Transition to positive profitability largely tied to operational avenues, as evidenced by EBITDA improvements and controlled expense ratios.</w:t>
        <w:br/>
        <w:br/>
        <w:t>### Conclusion</w:t>
        <w:br/>
        <w:br/>
        <w:t>The firm has demonstrated resilience in its financial structure, marked initially by significant revenue volatilities which drive nearly all profitability metrics and operating costs. Operational adjustments and expenditure management in later periods resulted in increased profitability. Despite existing financial complexities, the final periods hint at a recovery and potential for sustainable growth, although liquidity remains a point of consideration based solely on quick and current ratios presented.</w:t>
      </w:r>
    </w:p>
    <w:sectPr w:rsidR="00FC693F" w:rsidRPr="0006063C" w:rsidSect="00034616">
      <w:headerReference w:type="default" r:id="rId9"/>
      <w:pgSz w:w="12240" w:h="15840"/>
      <w:pgMar w:top="720" w:right="720" w:bottom="720" w:left="720" w:header="720" w:footer="720" w:gutter="0"/>
      <w:cols w:space="720"/>
      <w:docGrid w:linePitch="360"/>
      <w:top w:val="single" w:sz="24" w:space="0" w:color="000000"/>
      <w:right w:val="single" w:sz="24" w:space="0" w:color="000000"/>
      <w:bottom w:val="single" w:sz="24" w:space="0" w:color="000000"/>
      <w:left w:val="single" w:sz="24" w:space="0" w:color="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