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Profit &amp;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Financial Term</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2018-2019</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2019-2020</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2020-2021</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2021-2022</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2022-2023</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2023-24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Nov-2024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pStyle w:val="Heading1"/>
      </w:pPr>
      <w:r>
        <w:t>Analysis</w:t>
      </w:r>
    </w:p>
    <w:p>
      <w:r>
        <w:t>### Financial Ratio Analysis</w:t>
        <w:br/>
        <w:br/>
        <w:t>#### Current Ratio</w:t>
        <w:br/>
        <w:t>The **Current Ratio** over the observed periods is consistently below 1, with specific values of 0.48, 0.46, 0.39, 0.35, and 0.35. This indicates a trend of decreasing liquidity, as the company's current assets are less than its current liabilities. The ratio declining from 0.48 to 0.35 suggests increasing difficulty in covering short-term obligations, possibly hinting at financial strain or increased short-term liabilities relative to assets.</w:t>
        <w:br/>
        <w:br/>
        <w:t>#### Net Profit Ratio</w:t>
        <w:br/>
        <w:t>The data for the **Net Profit Ratio** is not directly provided, and since net profit figures post-tax are not available in the dataset, we cannot compute this ratio without making unsupported assumptions. Therefore, this analysis cannot assess the net profitability directly.</w:t>
        <w:br/>
        <w:br/>
        <w:t>#### Interest Coverage Ratio (ICR)</w:t>
        <w:br/>
        <w:t>The Profit Before Tax values available do not allow the calculation of the Interest Coverage Ratio without explicit tax and total interest data for new term loans. Further details would be necessary to compute and assess the ICR.</w:t>
        <w:br/>
        <w:br/>
        <w:t>#### Debt Service Coverage Ratio (DSCR)</w:t>
        <w:br/>
        <w:t>Just like the ICR, computation of **Debt Service Coverage Ratio** requires explicit values for net profit, depreciation, and total debt service. Since this specific debt information does not exist in the dataset, DSCR by definition cannot be accurately computed.</w:t>
        <w:br/>
        <w:br/>
        <w:t>### Trend Analysis</w:t>
        <w:br/>
        <w:br/>
        <w:t>#### Revenue Analysis</w:t>
        <w:br/>
        <w:t>- The total revenue shows significant variability: values of 6397.08, 5596.89, 990.26, 2052.59, 5432.58, 7634, 4302.72, and 8000 reflect an initial decline from 6397.08 to 990.26, with a fluctuating recovery thereafter. The biggest gain is from 4302.72 to 8000, showing strong revenue growth towards the end of the period.</w:t>
        <w:br/>
        <w:t>- The **Revenue Growth (%)** figures magnify these trends with substantial variations from major decreases (-41.35%, -8.15%, -83.45%) to a notable increase of 226.6%, indicating periods of sharp operational adjustments or market changes that affected sales.</w:t>
        <w:br/>
        <w:br/>
        <w:t>#### Expense Analysis</w:t>
        <w:br/>
        <w:t>- The **Total Employee Cost as a Percentage of Sales** decreases significantly from 27.04% and 24.94% to 14.18%, which might indicate greater sales efficiency or reduced employee costs compared to revenue.</w:t>
        <w:br/>
        <w:t>- **Finance Costs as a Percentage of Sales** decrease sharply from 3.38% and 2.65% to 0.03%, reflecting a reduction in finance expenses relative to sales, possibly due to better financing rates or reduced borrowings.</w:t>
        <w:br/>
        <w:t>- Other Expenses show an initially high ratio compared to sales (&gt; 95%) but decrease to 81.59% in recent data, hinting at more controlled or reduced overheads.</w:t>
        <w:br/>
        <w:br/>
        <w:t>### Summary</w:t>
        <w:br/>
        <w:t>Overall, the current ratio and variability in revenues combined with improved efficiency in employee and finance costs reflect both potential ongoing challenges regarding liquidity and notable recoveries and efficiencies in operations. The variability in sales and expenses depict a company undergoing significant fluctuations internally or in its external environment. This analysis shows a clear need for better liquidity management and highlights areas where financial efficiencies appear to be yielding beneficial results.</w:t>
      </w:r>
    </w:p>
    <w:sectPr w:rsidR="00FC693F" w:rsidRPr="0006063C" w:rsidSect="00034616">
      <w:headerReference w:type="default" r:id="rId9"/>
      <w:pgSz w:w="12240" w:h="15840"/>
      <w:pgMar w:top="720" w:right="720" w:bottom="720" w:left="720" w:header="720" w:footer="720" w:gutter="0"/>
      <w:cols w:space="720"/>
      <w:docGrid w:linePitch="360"/>
      <w:top w:val="single" w:sz="24" w:space="0" w:color="000000"/>
      <w:right w:val="single" w:sz="24" w:space="0" w:color="000000"/>
      <w:bottom w:val="single" w:sz="24" w:space="0" w:color="000000"/>
      <w:left w:val="single" w:sz="24" w:space="0" w:color="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