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from 2021-2022 may be caused by significant business expansion or new product launches and affects the company's growth trajectory favorably.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significant negative and positive swings, indicates potential instability in revenue streams, posing a risk to sustainable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investors or lenders.</w:t>
      </w:r>
    </w:p>
    <w:p>
      <w:pPr>
        <w:spacing w:after="120"/>
        <w:ind w:left="360" w:hanging="360"/>
      </w:pPr>
      <w:r>
        <w:rPr>
          <w:sz w:val="22"/>
        </w:rPr>
        <w:t xml:space="preserve">• </w:t>
      </w:r>
      <w:r>
        <w:rPr>
          <w:b/>
          <w:color w:val="C00000"/>
          <w:sz w:val="22"/>
        </w:rPr>
        <w:t xml:space="preserve">Financial Risk: </w:t>
      </w:r>
      <w:r>
        <w:rPr>
          <w:sz w:val="22"/>
        </w:rPr>
        <w:t>The historical trend of 0% EBITDA Margin (%) over several years indicates a risk of operational inefficiency, which could challenge the company's ability to sustain the recent improvement in profitability.</w:t>
      </w:r>
    </w:p>
    <w:p>
      <w:pPr>
        <w:pStyle w:val="Heading2"/>
      </w:pPr>
      <w:r>
        <w:rPr>
          <w:b/>
          <w:color w:val="1F497D"/>
          <w:sz w:val="28"/>
        </w:rPr>
        <w:t>Analysis of EBT Margins (%):</w:t>
      </w:r>
    </w:p>
    <w:p>
      <w:pPr>
        <w:spacing w:after="120"/>
        <w:ind w:left="360" w:hanging="360"/>
      </w:pPr>
      <w:r>
        <w:rPr>
          <w:sz w:val="22"/>
        </w:rPr>
        <w:t xml:space="preserve">• </w:t>
      </w:r>
      <w:r>
        <w:rPr>
          <w:sz w:val="22"/>
        </w:rPr>
        <w:t>The change from 0% to 11.04% in EBT Margin (%) in 2022-2023 may be caused by improved operational efficiency and affects the company's profitability positively before tax liabilities.</w:t>
      </w:r>
    </w:p>
    <w:p>
      <w:pPr>
        <w:spacing w:after="120"/>
        <w:ind w:left="360" w:hanging="360"/>
      </w:pPr>
      <w:r>
        <w:rPr>
          <w:sz w:val="22"/>
        </w:rPr>
        <w:t xml:space="preserve">• </w:t>
      </w:r>
      <w:r>
        <w:rPr>
          <w:sz w:val="22"/>
        </w:rPr>
        <w:t>The consistent 0% EBT Margin (%) from 2018-2022 may be caused by high operational costs or low revenue and affects the company's ability to generate profit before taxes negatively.</w:t>
      </w:r>
    </w:p>
    <w:p>
      <w:pPr>
        <w:spacing w:after="120"/>
        <w:ind w:left="360" w:hanging="360"/>
      </w:pPr>
      <w:r>
        <w:rPr>
          <w:sz w:val="22"/>
        </w:rPr>
        <w:t xml:space="preserve">• </w:t>
      </w:r>
      <w:r>
        <w:rPr>
          <w:sz w:val="22"/>
        </w:rPr>
        <w:t>The sudden increase to 11.04% in 2022-2023 EBT Margin (%) may be caused by a one-time event or accounting adjustment and affects the reliability of future projections.</w:t>
      </w:r>
    </w:p>
    <w:p>
      <w:pPr>
        <w:spacing w:after="120"/>
        <w:ind w:left="360" w:hanging="360"/>
      </w:pPr>
      <w:r>
        <w:rPr>
          <w:sz w:val="22"/>
        </w:rPr>
        <w:t xml:space="preserve">• </w:t>
      </w:r>
      <w:r>
        <w:rPr>
          <w:b/>
          <w:color w:val="C00000"/>
          <w:sz w:val="22"/>
        </w:rPr>
        <w:t xml:space="preserve">Financial Risk: </w:t>
      </w:r>
      <w:r>
        <w:rPr>
          <w:sz w:val="22"/>
        </w:rPr>
        <w:t>The abrupt increase in EBT Margin (%) in 2022-2023 raises concerns about the sustainability of this profitability level, indicating potential volatility in future financial performance.</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 in 2022-2023 may be caused by increased profitability and affects the company's ability to generate net profit from its revenue.</w:t>
      </w:r>
    </w:p>
    <w:p>
      <w:pPr>
        <w:spacing w:after="120"/>
        <w:ind w:left="360" w:hanging="360"/>
      </w:pPr>
      <w:r>
        <w:rPr>
          <w:sz w:val="22"/>
        </w:rPr>
        <w:t xml:space="preserve">• </w:t>
      </w:r>
      <w:r>
        <w:rPr>
          <w:sz w:val="22"/>
        </w:rPr>
        <w:t>The consistent 0% PAT Margin (%) from 2018-2022 may be caused by high expenses relative to revenue and affects the company's historical net profitability.</w:t>
      </w:r>
    </w:p>
    <w:p>
      <w:pPr>
        <w:spacing w:after="120"/>
        <w:ind w:left="360" w:hanging="360"/>
      </w:pPr>
      <w:r>
        <w:rPr>
          <w:sz w:val="22"/>
        </w:rPr>
        <w:t xml:space="preserve">• </w:t>
      </w:r>
      <w:r>
        <w:rPr>
          <w:sz w:val="22"/>
        </w:rPr>
        <w:t>The sudden increase to 11.04% in 2022-2023 PAT Margin (%) may be caused by improved operational efficiency or cost management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significant fluctuation in PAT Margin (%) from 0% to 11.04% raises concerns about the sustainability of recent profitability improvements, indicating potential volatility in future financial performance.</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 in 2022-2023 may be caused by an increase in net profit or a decrease in shareholders' equity and affects the company's ability to generate profit from shareholders' investments.</w:t>
      </w:r>
    </w:p>
    <w:p>
      <w:pPr>
        <w:spacing w:after="120"/>
        <w:ind w:left="360" w:hanging="360"/>
      </w:pPr>
      <w:r>
        <w:rPr>
          <w:sz w:val="22"/>
        </w:rPr>
        <w:t xml:space="preserve">• </w:t>
      </w:r>
      <w:r>
        <w:rPr>
          <w:sz w:val="22"/>
        </w:rPr>
        <w:t>The consistent 0% ROE from 2018-2022 may be caused by either no net profit or equal net losses and affects the company's attractiveness to investors.</w:t>
      </w:r>
    </w:p>
    <w:p>
      <w:pPr>
        <w:spacing w:after="120"/>
        <w:ind w:left="360" w:hanging="360"/>
      </w:pPr>
      <w:r>
        <w:rPr>
          <w:sz w:val="22"/>
        </w:rPr>
        <w:t xml:space="preserve">• </w:t>
      </w:r>
      <w:r>
        <w:rPr>
          <w:sz w:val="22"/>
        </w:rPr>
        <w:t>The sudden increase to 11.73% ROE in 2022-2023 may be caused by improved operational efficiency or financial restructuring and affects the company's perceived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ROE over four consecutive years indicates potential underlying issues in profitability or equity management, posing a risk to sustained financial performance.</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parameter 'Return on Fixed Assets (%)' may be caused by 'zero or negligible EBIT relative to fixed assets' and affects 'the company's ability to demonstrate efficient use of its fixed assets'.</w:t>
      </w:r>
    </w:p>
    <w:p>
      <w:pPr>
        <w:spacing w:after="120"/>
        <w:ind w:left="360" w:hanging="360"/>
      </w:pPr>
      <w:r>
        <w:rPr>
          <w:sz w:val="22"/>
        </w:rPr>
        <w:t xml:space="preserve">• </w:t>
      </w:r>
      <w:r>
        <w:rPr>
          <w:sz w:val="22"/>
        </w:rPr>
        <w:t>The lack of change '0%' in parameter 'Return on Fixed Assets (%)' may be caused by 'potential underutilization or non-productive fixed assets' and affects 'the company's attractiveness to potential lenders or investors'.</w:t>
      </w:r>
    </w:p>
    <w:p>
      <w:pPr>
        <w:spacing w:after="120"/>
        <w:ind w:left="360" w:hanging="360"/>
      </w:pPr>
      <w:r>
        <w:rPr>
          <w:sz w:val="22"/>
        </w:rPr>
        <w:t xml:space="preserve">• </w:t>
      </w:r>
      <w:r>
        <w:rPr>
          <w:sz w:val="22"/>
        </w:rPr>
        <w:t>The unchanged '0%' in parameter 'Return on Fixed Assets (%)' may be caused by 'a stagnant or declining operational performance' and affects 'the company's growth prospects and financial health'.</w:t>
      </w:r>
    </w:p>
    <w:p>
      <w:pPr>
        <w:spacing w:after="120"/>
        <w:ind w:left="360" w:hanging="360"/>
      </w:pPr>
      <w:r>
        <w:rPr>
          <w:sz w:val="22"/>
        </w:rPr>
        <w:t xml:space="preserve">• </w:t>
      </w:r>
      <w:r>
        <w:rPr>
          <w:b/>
          <w:color w:val="C00000"/>
          <w:sz w:val="22"/>
        </w:rPr>
        <w:t xml:space="preserve">Financial Risk: </w:t>
      </w:r>
      <w:r>
        <w:rPr>
          <w:sz w:val="22"/>
        </w:rPr>
        <w:t>The persistent '0%' ROFA indicates a significant risk of inefficient asset utilization, which could lead to challenges in securing financing and achieving sustainable profitability.</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to 3.58% in Return on Capital Employed (ROCE) (%) in 2022-2023 may be caused by an increase in EBIT relative to capital employed and affects the company's ability to generate profits from its capital.</w:t>
      </w:r>
    </w:p>
    <w:p>
      <w:pPr>
        <w:spacing w:after="120"/>
        <w:ind w:left="360" w:hanging="360"/>
      </w:pPr>
      <w:r>
        <w:rPr>
          <w:sz w:val="22"/>
        </w:rPr>
        <w:t xml:space="preserve">• </w:t>
      </w:r>
      <w:r>
        <w:rPr>
          <w:sz w:val="22"/>
        </w:rPr>
        <w:t>The consistent 0% ROCE from 2018-2022 may be caused by either low EBIT or high capital employed, and affects the company's historical efficiency in utilizing its capital.</w:t>
      </w:r>
    </w:p>
    <w:p>
      <w:pPr>
        <w:spacing w:after="120"/>
        <w:ind w:left="360" w:hanging="360"/>
      </w:pPr>
      <w:r>
        <w:rPr>
          <w:sz w:val="22"/>
        </w:rPr>
        <w:t xml:space="preserve">• </w:t>
      </w:r>
      <w:r>
        <w:rPr>
          <w:sz w:val="22"/>
        </w:rPr>
        <w:t>The sudden increase to 3.58% ROCE in 2022-2023 may be caused by improved operational performance or reduced capital base, and affects the perception of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ROCE over four years indicates a potential risk of inefficient capital utilization, which could affect the company's ability to sustain profitability improvements seen in 2022-2023.</w:t>
      </w:r>
    </w:p>
    <w:p>
      <w:pPr>
        <w:pStyle w:val="Heading2"/>
      </w:pPr>
      <w:r>
        <w:rPr>
          <w:b/>
          <w:color w:val="1F497D"/>
          <w:sz w:val="28"/>
        </w:rPr>
        <w:t>Analysis of Current Ratio:</w:t>
      </w:r>
    </w:p>
    <w:p>
      <w:pPr>
        <w:spacing w:after="120"/>
        <w:ind w:left="360" w:hanging="360"/>
      </w:pPr>
      <w:r>
        <w:rPr>
          <w:sz w:val="22"/>
        </w:rPr>
        <w:t xml:space="preserve">• </w:t>
      </w:r>
      <w:r>
        <w:rPr>
          <w:sz w:val="22"/>
        </w:rPr>
        <w:t>The change from 0.48 to 0.46 in parameter Current Ratio from 2018-2019 to 2019-2020 may be caused by a decrease in total current assets or an increase in total current liabilities and affects the company's ability to cover short-term obligations.</w:t>
      </w:r>
    </w:p>
    <w:p>
      <w:pPr>
        <w:spacing w:after="120"/>
        <w:ind w:left="360" w:hanging="360"/>
      </w:pPr>
      <w:r>
        <w:rPr>
          <w:sz w:val="22"/>
        </w:rPr>
        <w:t xml:space="preserve">• </w:t>
      </w:r>
      <w:r>
        <w:rPr>
          <w:sz w:val="22"/>
        </w:rPr>
        <w:t>The change from 0.46 to 0.39 in parameter Current Ratio from 2019-2020 to 2020-2021 may be caused by further deterioration in liquidity position and affects the financial health negatively, indicating increased liquidity risk.</w:t>
      </w:r>
    </w:p>
    <w:p>
      <w:pPr>
        <w:spacing w:after="120"/>
        <w:ind w:left="360" w:hanging="360"/>
      </w:pPr>
      <w:r>
        <w:rPr>
          <w:sz w:val="22"/>
        </w:rPr>
        <w:t xml:space="preserve">• </w:t>
      </w:r>
      <w:r>
        <w:rPr>
          <w:sz w:val="22"/>
        </w:rPr>
        <w:t>The stagnation at 0.35 in parameter Current Ratio from 2021-2022 to 2022-2023 may be caused by consistent challenges in improving asset management or liability reduction and affects the company's ongoing liquidity concerns.</w:t>
      </w:r>
    </w:p>
    <w:p>
      <w:pPr>
        <w:spacing w:after="120"/>
        <w:ind w:left="360" w:hanging="360"/>
      </w:pPr>
      <w:r>
        <w:rPr>
          <w:sz w:val="22"/>
        </w:rPr>
        <w:t xml:space="preserve">• </w:t>
      </w:r>
      <w:r>
        <w:rPr>
          <w:b/>
          <w:color w:val="C00000"/>
          <w:sz w:val="22"/>
        </w:rPr>
        <w:t xml:space="preserve">Financial Risk: </w:t>
      </w:r>
      <w:r>
        <w:rPr>
          <w:sz w:val="22"/>
        </w:rPr>
        <w:t>The consistently low Current Ratio below 1 across all years indicates a significant risk of liquidity problems, suggesting the company may struggle to meet its short-term liabilities without improving its financial management strategies.</w:t>
      </w:r>
    </w:p>
    <w:p>
      <w:pPr>
        <w:pStyle w:val="Heading2"/>
      </w:pPr>
      <w:r>
        <w:rPr>
          <w:b/>
          <w:color w:val="1F497D"/>
          <w:sz w:val="28"/>
        </w:rPr>
        <w:t>Analysis of Quick Ratio:</w:t>
      </w:r>
    </w:p>
    <w:p>
      <w:pPr>
        <w:spacing w:after="120"/>
        <w:ind w:left="360" w:hanging="360"/>
      </w:pPr>
      <w:r>
        <w:rPr>
          <w:sz w:val="22"/>
        </w:rPr>
        <w:t xml:space="preserve">• </w:t>
      </w:r>
      <w:r>
        <w:rPr>
          <w:sz w:val="22"/>
        </w:rPr>
        <w:t>The decrease from 0.48 to 0.46 in Quick Ratio between 2018-2019 and 2019-2020 may be caused by an increase in current liabilities and affects the company's ability to meet short-term obligations.</w:t>
      </w:r>
    </w:p>
    <w:p>
      <w:pPr>
        <w:spacing w:after="120"/>
        <w:ind w:left="360" w:hanging="360"/>
      </w:pPr>
      <w:r>
        <w:rPr>
          <w:sz w:val="22"/>
        </w:rPr>
        <w:t xml:space="preserve">• </w:t>
      </w:r>
      <w:r>
        <w:rPr>
          <w:sz w:val="22"/>
        </w:rPr>
        <w:t>The decline from 0.46 to 0.39 in Quick Ratio from 2019-2020 to 2020-2021 may be caused by a reduction in liquid assets and affects the company's short-term liquidity position.</w:t>
      </w:r>
    </w:p>
    <w:p>
      <w:pPr>
        <w:spacing w:after="120"/>
        <w:ind w:left="360" w:hanging="360"/>
      </w:pPr>
      <w:r>
        <w:rPr>
          <w:sz w:val="22"/>
        </w:rPr>
        <w:t xml:space="preserve">• </w:t>
      </w:r>
      <w:r>
        <w:rPr>
          <w:sz w:val="22"/>
        </w:rPr>
        <w:t>The stagnation at 0.35 in Quick Ratio from 2021-2022 to 2022-2023 may be caused by consistent levels of current liabilities and liquid assets, affecting the company's ability to improve its liquidity position.</w:t>
      </w:r>
    </w:p>
    <w:p>
      <w:pPr>
        <w:spacing w:after="120"/>
        <w:ind w:left="360" w:hanging="360"/>
      </w:pPr>
      <w:r>
        <w:rPr>
          <w:sz w:val="22"/>
        </w:rPr>
        <w:t xml:space="preserve">• </w:t>
      </w:r>
      <w:r>
        <w:rPr>
          <w:b/>
          <w:color w:val="C00000"/>
          <w:sz w:val="22"/>
        </w:rPr>
        <w:t xml:space="preserve">Financial Risk: </w:t>
      </w:r>
      <w:r>
        <w:rPr>
          <w:sz w:val="22"/>
        </w:rPr>
        <w:t>The consistently low Quick Ratio below 1 across all years indicates potential liquidity issues, suggesting the company may struggle to meet its short-term liabilities without selling inventory, posing a risk to financial 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parameter 'Interest Coverage Ratio' may be caused by a significant increase in EBIT or a decrease in Interest Expense and affects the company's debt-servicing ability positively.</w:t>
      </w:r>
    </w:p>
    <w:p>
      <w:pPr>
        <w:spacing w:after="120"/>
        <w:ind w:left="360" w:hanging="360"/>
      </w:pPr>
      <w:r>
        <w:rPr>
          <w:sz w:val="22"/>
        </w:rPr>
        <w:t xml:space="preserve">• </w:t>
      </w:r>
      <w:r>
        <w:rPr>
          <w:sz w:val="22"/>
        </w:rPr>
        <w:t>The consistent '0' in parameter 'Interest Coverage Ratio' from 2018-2022 may be caused by EBIT being equal to or less than Interest Expense and affects the company's financial stability negatively.</w:t>
      </w:r>
    </w:p>
    <w:p>
      <w:pPr>
        <w:spacing w:after="120"/>
        <w:ind w:left="360" w:hanging="360"/>
      </w:pPr>
      <w:r>
        <w:rPr>
          <w:sz w:val="22"/>
        </w:rPr>
        <w:t xml:space="preserve">• </w:t>
      </w:r>
      <w:r>
        <w:rPr>
          <w:sz w:val="22"/>
        </w:rPr>
        <w:t>The sudden spike to '140.38' in parameter 'Interest Coverage Ratio' in 2022-2023 may be caused by an extraordinary event or accounting adjustment and affects the reliability of financial projections.</w:t>
      </w:r>
    </w:p>
    <w:p>
      <w:pPr>
        <w:spacing w:after="120"/>
        <w:ind w:left="360" w:hanging="360"/>
      </w:pPr>
      <w:r>
        <w:rPr>
          <w:sz w:val="22"/>
        </w:rPr>
        <w:t xml:space="preserve">• </w:t>
      </w:r>
      <w:r>
        <w:rPr>
          <w:b/>
          <w:color w:val="C00000"/>
          <w:sz w:val="22"/>
        </w:rPr>
        <w:t xml:space="preserve">Financial Risk: </w:t>
      </w:r>
      <w:r>
        <w:rPr>
          <w:sz w:val="22"/>
        </w:rPr>
        <w:t>The historical lack of ability to cover interest expenses from 2018-2022 poses a significant risk, as the recent spike in the Interest Coverage Ratio may not be sustainable or indicative of long-term financial health.</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parameter 'Long-term Debt/Equity' in 2021-2022 may be caused by an increase in long-term debt and affects the financial leverage by indicating a higher reliance on debt.</w:t>
      </w:r>
    </w:p>
    <w:p>
      <w:pPr>
        <w:spacing w:after="120"/>
        <w:ind w:left="360" w:hanging="360"/>
      </w:pPr>
      <w:r>
        <w:rPr>
          <w:sz w:val="22"/>
        </w:rPr>
        <w:t xml:space="preserve">• </w:t>
      </w:r>
      <w:r>
        <w:rPr>
          <w:sz w:val="22"/>
        </w:rPr>
        <w:t>The change from '0.28' to '0.22' in parameter 'Long-term Debt/Equity' in 2022-2023 may be caused by an increase in shareholders' equity or a decrease in long-term debt and affects the financial risk by indicating a slight reduction in leverage.</w:t>
      </w:r>
    </w:p>
    <w:p>
      <w:pPr>
        <w:spacing w:after="120"/>
        <w:ind w:left="360" w:hanging="360"/>
      </w:pPr>
      <w:r>
        <w:rPr>
          <w:sz w:val="22"/>
        </w:rPr>
        <w:t xml:space="preserve">• </w:t>
      </w:r>
      <w:r>
        <w:rPr>
          <w:sz w:val="22"/>
        </w:rPr>
        <w:t>The consistent '0' in parameter 'Long-term Debt/Equity' from 2018-2019 to 2020-2021 may be caused by the absence of long-term debt and affects the financial stability by indicating no financial leverage risk during these years.</w:t>
      </w:r>
    </w:p>
    <w:p>
      <w:pPr>
        <w:spacing w:after="120"/>
        <w:ind w:left="360" w:hanging="360"/>
      </w:pPr>
      <w:r>
        <w:rPr>
          <w:sz w:val="22"/>
        </w:rPr>
        <w:t xml:space="preserve">• </w:t>
      </w:r>
      <w:r>
        <w:rPr>
          <w:b/>
          <w:color w:val="C00000"/>
          <w:sz w:val="22"/>
        </w:rPr>
        <w:t xml:space="preserve">Financial Risk: </w:t>
      </w:r>
      <w:r>
        <w:rPr>
          <w:sz w:val="22"/>
        </w:rPr>
        <w:t>The introduction of long-term debt in 2021-2022 increases financial risk, as the company now has obligations that could impact its financial flexibility and ability to secure additional financing.</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