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Profit &amp;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Financial Term</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2018-2019</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2019-2020</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2020-2021</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2021-2022</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2022-2023</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2023-24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Nov-2024</w:t>
            </w:r>
          </w:p>
        </w:tc>
        <w:tc>
          <w:tcPr>
            <w:tcW w:type="dxa" w:w="1200"/>
            <w:tcBorders>
              <w:top w:val="single" w:sz="24" w:space="0" w:color="000000"/>
              <w:right w:val="single" w:sz="24" w:space="0" w:color="000000"/>
              <w:bottom w:val="single" w:sz="24" w:space="0" w:color="000000"/>
              <w:left w:val="single" w:sz="24" w:space="0" w:color="000000"/>
            </w:tcBorders>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pStyle w:val="Heading1"/>
      </w:pPr>
      <w:r>
        <w:t>Analysis</w:t>
      </w:r>
    </w:p>
    <w:p>
      <w:r>
        <w:t>The sales revenue primarily generated from the sale of services experienced substantial volatility. After a decline from $5,717.67 to $5251.76 between the initial years, revenue from services notably dropped by 83.45% to $869.28 in the subsequent period. This sharp decrease was followed by a period of significant recovery, with sales rising by 78.92% to $1,555.29, continuing to $5,079.62, and reaching a projected $7,500, indicating a high degree of variability and uncertainty in the revenue generation process.</w:t>
        <w:br/>
        <w:br/>
        <w:t>The cost efficiency reflected by the ratio of total other expenses to sales remained consistently high, albeit with fluctuations. The percentage of total other expenses relative to sales was 95.33% initially, reducing slightly to 87.21%, and then surged to 106.55%, and 102.83% before decreasing to 81.59%. These variations suggest changes in management or operational processes that impacted cost efficiency significantly.</w:t>
        <w:br/>
        <w:br/>
        <w:t>Employee benefit expenses decreased dramatically from $1,546.25 to $458.38 early on, aligning with periods of lower sales. However, the expenses eventually adjusted upwards, projecting over $1,000 in the current period likely due to workforce restructuring or operational realignment. Overall, employee costs as a percentage of sales reflect periods of high expense burden followed by increased efficiency.</w:t>
        <w:br/>
        <w:br/>
        <w:t>Depreciation expenses remained relatively stable but fluctuated between $6.12 and $6.88 during various periods, concluding with a projection of $6.5. These changes appear modest and do not directly correlate with capital investments or major asset acquisitions, suggesting stable asset utilization strategies.</w:t>
        <w:br/>
        <w:br/>
        <w:t>Profitability saw significant improvement over the years. From a negative profit scenario of -$799.87, there was a transition into positive territory reaching $560.64 and $598.32 consecutively; projected to further rise to $708.13. The primary drivers were likely enhanced sales performance and effective cost control, as indicated by improved profitability ratios and reduced finance costs. This trend signals a potentially stabilizing financial environment despite the volatility in earlier years.</w:t>
      </w:r>
    </w:p>
    <w:sectPr w:rsidR="00FC693F" w:rsidRPr="0006063C" w:rsidSect="00034616">
      <w:headerReference w:type="default" r:id="rId9"/>
      <w:pgSz w:w="12240" w:h="15840"/>
      <w:pgMar w:top="720" w:right="720" w:bottom="720" w:left="720" w:header="720" w:footer="720" w:gutter="0"/>
      <w:cols w:space="720"/>
      <w:docGrid w:linePitch="360"/>
      <w:top w:val="single" w:sz="24" w:space="0" w:color="000000"/>
      <w:right w:val="single" w:sz="24" w:space="0" w:color="000000"/>
      <w:bottom w:val="single" w:sz="24" w:space="0" w:color="000000"/>
      <w:left w:val="single" w:sz="24" w:space="0" w:color="0000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