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Sales experienced substantial volatility over the years, with significant decreases, such as a drop from $5,717.67 to $869.28 in one year, and considerable recoveries, like rising to $6,782.7 and projected to reach $7,500. This dramatic fluctuation reflects potential challenges in securing consistent service contracts or customer retention issues.</w:t>
        <w:br/>
        <w:br/>
        <w:t>Cost of sales insights are limited as there are no reported figures for materials or stock in trade. However, employee benefit expenses have shown inconsistency with a low of $458.38 and a return to higher levels like $1,050 projected, possibly indicating changes in workforce size or compensation strategies.</w:t>
        <w:br/>
        <w:br/>
        <w:t>Other expenses balloon from $599.19 in one year to $6,235.37 in projections, primarily driven by increases in general operational costs. This erratic change suggests non-recurring expenses or potential inefficiencies that are yet to be addressed.</w:t>
        <w:br/>
        <w:br/>
        <w:t>Depreciation slightly decreased from $6.88 to $5.65 before an anticipated increase to $6.5, possibly pointing to aging assets with replacements or new acquisitions not yet broadly reflected.</w:t>
        <w:br/>
        <w:br/>
        <w:t>Profitability has varied significantly, moving from negative figures like -$799.87 and -$439.29 to positive outcomes such as $560.64 and further projections of $708.13. This recovery could be attributable to successful renegotiations or heightened efficiency in operations after initial losses.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