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Profit &amp;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Financial Term</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2018-2019</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2019-2020</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2020-2021</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2021-2022</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2022-2023</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2023-24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Nov-2024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pStyle w:val="Heading1"/>
      </w:pPr>
      <w:r>
        <w:t>Analysis</w:t>
      </w:r>
    </w:p>
    <w:p>
      <w:r>
        <w:t>### **Financial Position Analysis**</w:t>
        <w:br/>
        <w:br/>
        <w:t>Based on the provided financial data, we can calculate and analyze several key financial ratios and trends. The insights will cover profitability, liquidity, expense management, and overall business health.</w:t>
        <w:br/>
        <w:br/>
        <w:t>#### **Key Financial Ratios:**</w:t>
        <w:br/>
        <w:br/>
        <w:t>1. **Current Ratio**: Measures the ability to cover short-term liabilities with short-term assets.</w:t>
        <w:br/>
        <w:t xml:space="preserve">   - Calculations across periods: 0.48, 0.46, 0.39, 0.35, 0.35.</w:t>
        <w:br/>
        <w:t xml:space="preserve">   - **Trend Analysis**: The current ratio has decreased from 0.48 to 0.35 over the periods, indicating a deterioration in liquidity.</w:t>
        <w:br/>
        <w:t xml:space="preserve">   - **Impact**: This suggests potential difficulties in meeting short-term obligations, which could expose the company to financial distress if immediate obligations increase.</w:t>
        <w:br/>
        <w:br/>
        <w:t>2. **Net Profit Ratio**: Reflects overall profitability.</w:t>
        <w:br/>
        <w:t xml:space="preserve">   - The data indicates net loss or minimal profit margins across several periods with a positive margin only in recent figures (11.04%).</w:t>
        <w:br/>
        <w:t xml:space="preserve">   - **Trend Analysis**: Transition from persistent losses to profitability indicates strategic improvements in recent periods.</w:t>
        <w:br/>
        <w:t xml:space="preserve">   - **Impact**: Consistent profitability is crucial; current figures suggest improved operational efficiency or effective cost management recently.</w:t>
        <w:br/>
        <w:br/>
        <w:t>3. **Interest Coverage Ratio (ICR)**: Evaluates the ability to meet interest obligations.</w:t>
        <w:br/>
        <w:t xml:space="preserve">   - Calculated as: (Net Profit + Tax + Interest on Term Loan (New)) / Interest on Term Loan (New) - Specific values are not provided, but the downward trend in finance costs indicates improved financial management.</w:t>
        <w:br/>
        <w:t xml:space="preserve">   - **Impact**: An improved ICR would suggest stronger ability to cover interest expenses, which minimizes the risk of financial strain from debt.</w:t>
        <w:br/>
        <w:br/>
        <w:t>4. **Debt Service Coverage Ratio (DSCR)**: Measures ability to service debt with operating cash flow.</w:t>
        <w:br/>
        <w:t xml:space="preserve">   - Calculated as: (Net Profit + Interest on Term Loan (New) + Depreciation) / Total Debt Service - Specific calculations not possible from available data.</w:t>
        <w:br/>
        <w:t xml:space="preserve">   - **Impact**: Assumes improving trends due to declining finance costs and net profit growth recently.</w:t>
        <w:br/>
        <w:br/>
        <w:t>#### **Trend Analysis:**</w:t>
        <w:br/>
        <w:br/>
        <w:t>- **Revenue**: Volatile growth pattern with sharp declines followed by strong recovery phases (e.g., 226.6% revenue growth in recent periods). This includes a shift towards higher service revenue.</w:t>
        <w:br/>
        <w:t>- **Expenses**: Notably high percentage of sales devoted to employee costs and other expenses, with finance costs decreasing significantly as a percentage of sales from 14.94% to 0.03%.</w:t>
        <w:br/>
        <w:t>- **Profitability**: Transition from sustained losses to profitability highlights potential improvement in cost management and operational scaling.</w:t>
        <w:br/>
        <w:br/>
        <w:t>#### **Impact on Business Health:**</w:t>
        <w:br/>
        <w:br/>
        <w:t>- **Liquidity**: Decreasing current ratio positions the company at risk of liquidity shortages unless corrective actions are undertaken. A quick ratio mirroring the current ratio trend suggests an urgent need to boost liquid assets or reduce liabilities.</w:t>
        <w:br/>
        <w:t>- **Profitability**: Newly positive net margins improve confidence in financial stability and the feasibility of sustaining operations without incurring ongoing losses.</w:t>
        <w:br/>
        <w:t>- **Leverage**: Reduced finance cost as a percentage of sales and implied improved ICR suggest a more prudent handling of debt.</w:t>
        <w:br/>
        <w:br/>
        <w:t>#### **Industry Benchmarking:**</w:t>
        <w:br/>
        <w:br/>
        <w:t>- **Liquidity Ratios**: A current ratio below 1 is typically seen as a high-risk indicator compared to industry averages of 1.5-2, suggesting below-par liquidity management.</w:t>
        <w:br/>
        <w:t>- **Profitability Ratios**: A healthy net profit margin typically ranges between 10% to 20% in service-oriented industries, indicating that recent improvements align with industry standards.</w:t>
        <w:br/>
        <w:t>- **Expense Management**: Total other expenses maintaining above-industry average highlight potential inefficiencies that could be streamlined for improved net margins.</w:t>
        <w:br/>
        <w:br/>
        <w:t>### **Actionable Insights:**</w:t>
        <w:br/>
        <w:br/>
        <w:t>1. **Liquidity Enhancement**: Develop strategies to increase liquid assets or restructure liabilities to achieve a healthier current ratio over 1.0.</w:t>
        <w:br/>
        <w:t>2. **Cost Management**: Continue optimizing operational expenses, with specific attention to bringing down 'other expenses' as a percentage of sales.</w:t>
        <w:br/>
        <w:t>3. **Revenue Strategies**: Focus on maintaining or further improving recent revenue growth trajectories while exploring diversified income streams for risk mitigation.</w:t>
        <w:br/>
        <w:t>4. **Debt Management**: Regularly review debt structures to take advantage of lower finance costs and maintain strong interest coverage ratios.</w:t>
        <w:br/>
        <w:br/>
        <w:t>Overall, the company has strategically moved from a period of financial difficulty towards a more positive outlook, but must ensure liquidity and cost efficiency to sustain this momentum and minimize risks.</w:t>
      </w:r>
    </w:p>
    <w:sectPr w:rsidR="00FC693F" w:rsidRPr="0006063C" w:rsidSect="00034616">
      <w:headerReference w:type="default" r:id="rId9"/>
      <w:pgSz w:w="12240" w:h="15840"/>
      <w:pgMar w:top="720" w:right="720" w:bottom="720" w:left="720" w:header="720" w:footer="720" w:gutter="0"/>
      <w:cols w:space="720"/>
      <w:docGrid w:linePitch="360"/>
      <w:top w:val="single" w:sz="24" w:space="0" w:color="000000"/>
      <w:right w:val="single" w:sz="24" w:space="0" w:color="000000"/>
      <w:bottom w:val="single" w:sz="24" w:space="0" w:color="000000"/>
      <w:left w:val="single" w:sz="24" w:space="0" w:color="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