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Sales: In 2023, the borrower achieved a significant increase in sales, with total revenue from operations reaching $7,500,000 compared to $4,263,550 in 2022, marking a 75.9% growth. This recovery follows a period of decline between 2020 and 2021.</w:t>
        <w:br/>
        <w:br/>
        <w:t>Cost of Sales: There are no costs recorded under materials or stock in trade, with total cost management likely focused on other areas. This suggests the borrower has limited direct material dependencies, potentially lowering cost vulnerability.</w:t>
        <w:br/>
        <w:br/>
        <w:t>Other Expenses: Total other expenses grew by 95.6% from $3,259,950 in 2022 to $6,235,370 projected for 2023. Key drivers for this increase could include expanding operational activities or inflationary pressures.</w:t>
        <w:br/>
        <w:br/>
        <w:t>Depreciation: Depreciation saw consolidation around $6,740 annually until 2022, but a noteworthy drop was noted in 2022. Projected figures for 2023 suggest a minor uptick to $6,500, likely linked to recent capital investments.</w:t>
        <w:br/>
        <w:br/>
        <w:t>Profitability: The borrower achieved a notable turnaround with profits reaching $708,130 in 2023 following a negative trend in early years. This improvement correlates strongly with boosted sales and operational efficiencies in recent periods.</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