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1"/>
      </w:pPr>
      <w:r>
        <w:rPr>
          <w:b/>
          <w:sz w:val="32"/>
        </w:rPr>
        <w:t>Ratios Analysis</w:t>
      </w:r>
    </w:p>
    <w:p>
      <w:pPr>
        <w:pStyle w:val="Heading2"/>
      </w:pPr>
      <w:r>
        <w:rPr>
          <w:b/>
          <w:color w:val="1F497D"/>
          <w:sz w:val="28"/>
        </w:rPr>
        <w:t>Analysis of Revenue Growth (%):</w:t>
      </w:r>
    </w:p>
    <w:p>
      <w:pPr>
        <w:spacing w:after="120"/>
        <w:ind w:left="360" w:hanging="360"/>
      </w:pPr>
      <w:r>
        <w:rPr>
          <w:sz w:val="22"/>
        </w:rPr>
        <w:t xml:space="preserve">• </w:t>
      </w:r>
      <w:r>
        <w:rPr>
          <w:sz w:val="22"/>
        </w:rPr>
        <w:t>The change -41.35% in parameter Revenue Growth (%) from 2018-2019 may be caused by decreased sales or market demand and affects the company's ability to generate consistent revenue.</w:t>
      </w:r>
    </w:p>
    <w:p>
      <w:pPr>
        <w:spacing w:after="120"/>
        <w:ind w:left="360" w:hanging="360"/>
      </w:pPr>
      <w:r>
        <w:rPr>
          <w:sz w:val="22"/>
        </w:rPr>
        <w:t xml:space="preserve">• </w:t>
      </w:r>
      <w:r>
        <w:rPr>
          <w:sz w:val="22"/>
        </w:rPr>
        <w:t>The change 78.92% in parameter Revenue Growth (%) from 2020-2021 may be caused by recovery from previous downturns and affects the company's potential to regain market position.</w:t>
      </w:r>
    </w:p>
    <w:p>
      <w:pPr>
        <w:spacing w:after="120"/>
        <w:ind w:left="360" w:hanging="360"/>
      </w:pPr>
      <w:r>
        <w:rPr>
          <w:sz w:val="22"/>
        </w:rPr>
        <w:t xml:space="preserve">• </w:t>
      </w:r>
      <w:r>
        <w:rPr>
          <w:sz w:val="22"/>
        </w:rPr>
        <w:t>The change 226.6% in parameter Revenue Growth (%) from 2021-2022 may be caused by significant business expansion or new product launches and affects the company's growth trajectory positively.</w:t>
      </w:r>
    </w:p>
    <w:p>
      <w:pPr>
        <w:spacing w:after="120"/>
        <w:ind w:left="360" w:hanging="360"/>
      </w:pPr>
      <w:r>
        <w:rPr>
          <w:sz w:val="22"/>
        </w:rPr>
        <w:t xml:space="preserve">• </w:t>
      </w:r>
      <w:r>
        <w:rPr>
          <w:b/>
          <w:color w:val="C00000"/>
          <w:sz w:val="22"/>
        </w:rPr>
        <w:t xml:space="preserve">Financial Risk: </w:t>
      </w:r>
      <w:r>
        <w:rPr>
          <w:sz w:val="22"/>
        </w:rPr>
        <w:t>The volatility in Revenue Growth (%) over the years, with significant negative and positive swings, indicates potential instability in revenue streams, posing a risk to sustainable financial performance.</w:t>
      </w:r>
    </w:p>
    <w:p>
      <w:pPr>
        <w:pStyle w:val="Heading2"/>
      </w:pPr>
      <w:r>
        <w:rPr>
          <w:b/>
          <w:color w:val="1F497D"/>
          <w:sz w:val="28"/>
        </w:rPr>
        <w:t>Analysis of EBITDA Margins (%):</w:t>
      </w:r>
    </w:p>
    <w:p>
      <w:pPr>
        <w:spacing w:after="120"/>
        <w:ind w:left="360" w:hanging="360"/>
      </w:pPr>
      <w:r>
        <w:rPr>
          <w:sz w:val="22"/>
        </w:rPr>
        <w:t xml:space="preserve">• </w:t>
      </w:r>
      <w:r>
        <w:rPr>
          <w:sz w:val="22"/>
        </w:rPr>
        <w:t>The change from 0% to 4.24% in EBITDA Margin (%) in 2022-2023 may be caused by improved operational efficiency and affects the company's profitability positively.</w:t>
      </w:r>
    </w:p>
    <w:p>
      <w:pPr>
        <w:spacing w:after="120"/>
        <w:ind w:left="360" w:hanging="360"/>
      </w:pPr>
      <w:r>
        <w:rPr>
          <w:sz w:val="22"/>
        </w:rPr>
        <w:t xml:space="preserve">• </w:t>
      </w:r>
      <w:r>
        <w:rPr>
          <w:sz w:val="22"/>
        </w:rPr>
        <w:t>The consistent 0% EBITDA Margin (%) from 2018-2022 may be caused by high operational costs relative to revenue and affects the company's ability to generate earnings before interest, taxes, depreciation, and amortization.</w:t>
      </w:r>
    </w:p>
    <w:p>
      <w:pPr>
        <w:spacing w:after="120"/>
        <w:ind w:left="360" w:hanging="360"/>
      </w:pPr>
      <w:r>
        <w:rPr>
          <w:sz w:val="22"/>
        </w:rPr>
        <w:t xml:space="preserve">• </w:t>
      </w:r>
      <w:r>
        <w:rPr>
          <w:sz w:val="22"/>
        </w:rPr>
        <w:t>The sudden increase to 4.24% in 2022-2023 may be caused by a reduction in operational expenses or an increase in revenue and affects the company's attractiveness to potential investors or lenders.</w:t>
      </w:r>
    </w:p>
    <w:p>
      <w:pPr>
        <w:spacing w:after="120"/>
        <w:ind w:left="360" w:hanging="360"/>
      </w:pPr>
      <w:r>
        <w:rPr>
          <w:sz w:val="22"/>
        </w:rPr>
        <w:t xml:space="preserve">• </w:t>
      </w:r>
      <w:r>
        <w:rPr>
          <w:b/>
          <w:color w:val="C00000"/>
          <w:sz w:val="22"/>
        </w:rPr>
        <w:t xml:space="preserve">Financial Risk: </w:t>
      </w:r>
      <w:r>
        <w:rPr>
          <w:sz w:val="22"/>
        </w:rPr>
        <w:t>The historical trend of 0% EBITDA Margin (%) over four years indicates a risk of operational inefficiency, which could challenge the company's ability to sustain profitability improvements seen in 2022-2023.</w:t>
      </w:r>
    </w:p>
    <w:p>
      <w:pPr>
        <w:pStyle w:val="Heading2"/>
      </w:pPr>
      <w:r>
        <w:rPr>
          <w:b/>
          <w:color w:val="1F497D"/>
          <w:sz w:val="28"/>
        </w:rPr>
        <w:t>Analysis of EBT Margins (%):</w:t>
      </w:r>
    </w:p>
    <w:p>
      <w:pPr>
        <w:spacing w:after="120"/>
        <w:ind w:left="360" w:hanging="360"/>
      </w:pPr>
      <w:r>
        <w:rPr>
          <w:sz w:val="22"/>
        </w:rPr>
        <w:t xml:space="preserve">• </w:t>
      </w:r>
      <w:r>
        <w:rPr>
          <w:sz w:val="22"/>
        </w:rPr>
        <w:t>The change from 0% to 11.04% in EBT Margin (%) in 2022-2023 may be caused by improved operational efficiency and affects the company's profitability positively before tax liabilities.</w:t>
      </w:r>
    </w:p>
    <w:p>
      <w:pPr>
        <w:spacing w:after="120"/>
        <w:ind w:left="360" w:hanging="360"/>
      </w:pPr>
      <w:r>
        <w:rPr>
          <w:sz w:val="22"/>
        </w:rPr>
        <w:t xml:space="preserve">• </w:t>
      </w:r>
      <w:r>
        <w:rPr>
          <w:sz w:val="22"/>
        </w:rPr>
        <w:t>The consistent 0% EBT Margin (%) from 2018-2022 may be caused by high operational costs or low revenue and affects the company's ability to generate profit before taxes negatively.</w:t>
      </w:r>
    </w:p>
    <w:p>
      <w:pPr>
        <w:spacing w:after="120"/>
        <w:ind w:left="360" w:hanging="360"/>
      </w:pPr>
      <w:r>
        <w:rPr>
          <w:sz w:val="22"/>
        </w:rPr>
        <w:t xml:space="preserve">• </w:t>
      </w:r>
      <w:r>
        <w:rPr>
          <w:sz w:val="22"/>
        </w:rPr>
        <w:t>The sudden increase to 11.04% in 2022-2023 EBT Margin (%) may be caused by a significant reduction in expenses or increase in revenue and affects the company's financial health positively.</w:t>
      </w:r>
    </w:p>
    <w:p>
      <w:pPr>
        <w:spacing w:after="120"/>
        <w:ind w:left="360" w:hanging="360"/>
      </w:pPr>
      <w:r>
        <w:rPr>
          <w:sz w:val="22"/>
        </w:rPr>
        <w:t xml:space="preserve">• </w:t>
      </w:r>
      <w:r>
        <w:rPr>
          <w:b/>
          <w:color w:val="C00000"/>
          <w:sz w:val="22"/>
        </w:rPr>
        <w:t xml:space="preserve">Financial Risk: </w:t>
      </w:r>
      <w:r>
        <w:rPr>
          <w:sz w:val="22"/>
        </w:rPr>
        <w:t>The historical trend of 0% EBT Margin (%) over four years indicates a potential risk of unsustainable profitability, which could affect the company's ability to maintain the improved margin in the future.</w:t>
      </w:r>
    </w:p>
    <w:p>
      <w:pPr>
        <w:pStyle w:val="Heading2"/>
      </w:pPr>
      <w:r>
        <w:rPr>
          <w:b/>
          <w:color w:val="1F497D"/>
          <w:sz w:val="28"/>
        </w:rPr>
        <w:t>Analysis of PAT Margins (%):</w:t>
      </w:r>
    </w:p>
    <w:p>
      <w:pPr>
        <w:spacing w:after="120"/>
        <w:ind w:left="360" w:hanging="360"/>
      </w:pPr>
      <w:r>
        <w:rPr>
          <w:sz w:val="22"/>
        </w:rPr>
        <w:t xml:space="preserve">• </w:t>
      </w:r>
      <w:r>
        <w:rPr>
          <w:sz w:val="22"/>
        </w:rPr>
        <w:t>The change from 0% to 11.04% in PAT Margin (%) in 2022-2023 may be caused by increased profitability and affects the company's ability to generate net profit from its revenue.</w:t>
      </w:r>
    </w:p>
    <w:p>
      <w:pPr>
        <w:spacing w:after="120"/>
        <w:ind w:left="360" w:hanging="360"/>
      </w:pPr>
      <w:r>
        <w:rPr>
          <w:sz w:val="22"/>
        </w:rPr>
        <w:t xml:space="preserve">• </w:t>
      </w:r>
      <w:r>
        <w:rPr>
          <w:sz w:val="22"/>
        </w:rPr>
        <w:t>The consistent 0% PAT Margin (%) from 2018-2022 may be caused by high expenses relative to revenue and affects the company's historical net profitability.</w:t>
      </w:r>
    </w:p>
    <w:p>
      <w:pPr>
        <w:spacing w:after="120"/>
        <w:ind w:left="360" w:hanging="360"/>
      </w:pPr>
      <w:r>
        <w:rPr>
          <w:sz w:val="22"/>
        </w:rPr>
        <w:t xml:space="preserve">• </w:t>
      </w:r>
      <w:r>
        <w:rPr>
          <w:sz w:val="22"/>
        </w:rPr>
        <w:t>The sudden increase to 11.04% in 2022-2023 in PAT Margin (%) may be caused by improved operational efficiency or cost management and affects the company's financial health positively.</w:t>
      </w:r>
    </w:p>
    <w:p>
      <w:pPr>
        <w:spacing w:after="120"/>
        <w:ind w:left="360" w:hanging="360"/>
      </w:pPr>
      <w:r>
        <w:rPr>
          <w:sz w:val="22"/>
        </w:rPr>
        <w:t xml:space="preserve">• </w:t>
      </w:r>
      <w:r>
        <w:rPr>
          <w:b/>
          <w:color w:val="C00000"/>
          <w:sz w:val="22"/>
        </w:rPr>
        <w:t xml:space="preserve">Financial Risk: </w:t>
      </w:r>
      <w:r>
        <w:rPr>
          <w:sz w:val="22"/>
        </w:rPr>
        <w:t>The abrupt increase in PAT Margin (%) in 2022-2023 raises concerns about the sustainability of this profitability level, posing a risk if the underlying factors are not consistent or repeatable in future periods.</w:t>
      </w:r>
    </w:p>
    <w:p>
      <w:pPr>
        <w:pStyle w:val="Heading2"/>
      </w:pPr>
      <w:r>
        <w:rPr>
          <w:b/>
          <w:color w:val="1F497D"/>
          <w:sz w:val="28"/>
        </w:rPr>
        <w:t>Analysis of Return on Equity (%):</w:t>
      </w:r>
    </w:p>
    <w:p>
      <w:pPr>
        <w:spacing w:after="120"/>
        <w:ind w:left="360" w:hanging="360"/>
      </w:pPr>
      <w:r>
        <w:rPr>
          <w:sz w:val="22"/>
        </w:rPr>
        <w:t xml:space="preserve">• </w:t>
      </w:r>
      <w:r>
        <w:rPr>
          <w:sz w:val="22"/>
        </w:rPr>
        <w:t>The change from 0% to 11.73% in Return on Equity (%) from 2021-2022 to 2022-2023 may be caused by an increase in net profit or a decrease in shareholders' equity and affects the company's ability to generate profit from shareholders' investments.</w:t>
      </w:r>
    </w:p>
    <w:p>
      <w:pPr>
        <w:spacing w:after="120"/>
        <w:ind w:left="360" w:hanging="360"/>
      </w:pPr>
      <w:r>
        <w:rPr>
          <w:sz w:val="22"/>
        </w:rPr>
        <w:t xml:space="preserve">• </w:t>
      </w:r>
      <w:r>
        <w:rPr>
          <w:sz w:val="22"/>
        </w:rPr>
        <w:t>The consistent 0% Return on Equity (%) from 2018-2019 to 2021-2022 may be caused by either negligible net profit or high shareholders' equity and affects the perception of the company's financial efficiency.</w:t>
      </w:r>
    </w:p>
    <w:p>
      <w:pPr>
        <w:spacing w:after="120"/>
        <w:ind w:left="360" w:hanging="360"/>
      </w:pPr>
      <w:r>
        <w:rPr>
          <w:sz w:val="22"/>
        </w:rPr>
        <w:t xml:space="preserve">• </w:t>
      </w:r>
      <w:r>
        <w:rPr>
          <w:sz w:val="22"/>
        </w:rPr>
        <w:t>The sudden increase to 11.73% in 2022-2023 in Return on Equity (%) may be caused by improved operational performance or financial restructuring and affects the attractiveness of the company to potential investors.</w:t>
      </w:r>
    </w:p>
    <w:p>
      <w:pPr>
        <w:spacing w:after="120"/>
        <w:ind w:left="360" w:hanging="360"/>
      </w:pPr>
      <w:r>
        <w:rPr>
          <w:sz w:val="22"/>
        </w:rPr>
        <w:t xml:space="preserve">• </w:t>
      </w:r>
      <w:r>
        <w:rPr>
          <w:b/>
          <w:color w:val="C00000"/>
          <w:sz w:val="22"/>
        </w:rPr>
        <w:t xml:space="preserve">Financial Risk: </w:t>
      </w:r>
      <w:r>
        <w:rPr>
          <w:sz w:val="22"/>
        </w:rPr>
        <w:t>The historical trend of 0% ROE over four consecutive years indicates potential underlying issues in profitability or capital structure, posing a risk to sustained financial performance.</w:t>
      </w:r>
    </w:p>
    <w:p>
      <w:pPr>
        <w:pStyle w:val="Heading2"/>
      </w:pPr>
      <w:r>
        <w:rPr>
          <w:b/>
          <w:color w:val="1F497D"/>
          <w:sz w:val="28"/>
        </w:rPr>
        <w:t>Analysis of Return on Fixed Assets (%):</w:t>
      </w:r>
    </w:p>
    <w:p>
      <w:pPr>
        <w:spacing w:after="120"/>
        <w:ind w:left="360" w:hanging="360"/>
      </w:pPr>
      <w:r>
        <w:rPr>
          <w:sz w:val="22"/>
        </w:rPr>
        <w:t xml:space="preserve">• </w:t>
      </w:r>
      <w:r>
        <w:rPr>
          <w:sz w:val="22"/>
        </w:rPr>
        <w:t>The consistent '0%' in parameter 'Return on Fixed Assets (%)' may be caused by 'zero or negligible EBIT relative to fixed assets' and affects 'the company's ability to demonstrate efficient use of its fixed assets.'</w:t>
      </w:r>
    </w:p>
    <w:p>
      <w:pPr>
        <w:spacing w:after="120"/>
        <w:ind w:left="360" w:hanging="360"/>
      </w:pPr>
      <w:r>
        <w:rPr>
          <w:sz w:val="22"/>
        </w:rPr>
        <w:t xml:space="preserve">• </w:t>
      </w:r>
      <w:r>
        <w:rPr>
          <w:sz w:val="22"/>
        </w:rPr>
        <w:t>The lack of change '0%' in parameter 'Return on Fixed Assets (%)' may be caused by 'potential underutilization or non-productive fixed assets' and affects 'the company's attractiveness to potential lenders or investors.'</w:t>
      </w:r>
    </w:p>
    <w:p>
      <w:pPr>
        <w:spacing w:after="120"/>
        <w:ind w:left="360" w:hanging="360"/>
      </w:pPr>
      <w:r>
        <w:rPr>
          <w:sz w:val="22"/>
        </w:rPr>
        <w:t xml:space="preserve">• </w:t>
      </w:r>
      <w:r>
        <w:rPr>
          <w:sz w:val="22"/>
        </w:rPr>
        <w:t>The unchanged '0%' in parameter 'Return on Fixed Assets (%)' may be caused by 'a stagnant or declining operational performance' and affects 'the company's overall financial health and growth prospects.'</w:t>
      </w:r>
    </w:p>
    <w:p>
      <w:pPr>
        <w:spacing w:after="120"/>
        <w:ind w:left="360" w:hanging="360"/>
      </w:pPr>
      <w:r>
        <w:rPr>
          <w:sz w:val="22"/>
        </w:rPr>
        <w:t xml:space="preserve">• </w:t>
      </w:r>
      <w:r>
        <w:rPr>
          <w:b/>
          <w:color w:val="C00000"/>
          <w:sz w:val="22"/>
        </w:rPr>
        <w:t xml:space="preserve">Financial Risk: </w:t>
      </w:r>
      <w:r>
        <w:rPr>
          <w:sz w:val="22"/>
        </w:rPr>
        <w:t>The persistent 0% ROFA indicates a significant risk of inefficient asset utilization, which could lead to challenges in securing financing and hinder long-term profitability and growth.</w:t>
      </w:r>
    </w:p>
    <w:p>
      <w:pPr>
        <w:pStyle w:val="Heading2"/>
      </w:pPr>
      <w:r>
        <w:rPr>
          <w:b/>
          <w:color w:val="1F497D"/>
          <w:sz w:val="28"/>
        </w:rPr>
        <w:t>Analysis of Return on Capital Employed (%):</w:t>
      </w:r>
    </w:p>
    <w:p>
      <w:pPr>
        <w:spacing w:after="120"/>
        <w:ind w:left="360" w:hanging="360"/>
      </w:pPr>
      <w:r>
        <w:rPr>
          <w:sz w:val="22"/>
        </w:rPr>
        <w:t xml:space="preserve">• </w:t>
      </w:r>
      <w:r>
        <w:rPr>
          <w:sz w:val="22"/>
        </w:rPr>
        <w:t>The change from 0% to 3.58% in Return on Capital Employed (%) in 2022-2023 may be caused by an increase in EBIT relative to capital employed and affects the company's ability to generate profits from its capital.</w:t>
      </w:r>
    </w:p>
    <w:p>
      <w:pPr>
        <w:spacing w:after="120"/>
        <w:ind w:left="360" w:hanging="360"/>
      </w:pPr>
      <w:r>
        <w:rPr>
          <w:sz w:val="22"/>
        </w:rPr>
        <w:t xml:space="preserve">• </w:t>
      </w:r>
      <w:r>
        <w:rPr>
          <w:sz w:val="22"/>
        </w:rPr>
        <w:t>The consistent 0% ROCE from 2018-2022 may be caused by either low EBIT or high capital employed, and affects the company's efficiency in utilizing its capital.</w:t>
      </w:r>
    </w:p>
    <w:p>
      <w:pPr>
        <w:spacing w:after="120"/>
        <w:ind w:left="360" w:hanging="360"/>
      </w:pPr>
      <w:r>
        <w:rPr>
          <w:sz w:val="22"/>
        </w:rPr>
        <w:t xml:space="preserve">• </w:t>
      </w:r>
      <w:r>
        <w:rPr>
          <w:sz w:val="22"/>
        </w:rPr>
        <w:t>The sudden increase to 3.58% in 2022-2023 may be caused by improved operational performance or reduced capital base, and affects the perception of the company's financial health positively.</w:t>
      </w:r>
    </w:p>
    <w:p>
      <w:pPr>
        <w:spacing w:after="120"/>
        <w:ind w:left="360" w:hanging="360"/>
      </w:pPr>
      <w:r>
        <w:rPr>
          <w:sz w:val="22"/>
        </w:rPr>
        <w:t xml:space="preserve">• </w:t>
      </w:r>
      <w:r>
        <w:rPr>
          <w:b/>
          <w:color w:val="C00000"/>
          <w:sz w:val="22"/>
        </w:rPr>
        <w:t xml:space="preserve">Financial Risk: </w:t>
      </w:r>
      <w:r>
        <w:rPr>
          <w:sz w:val="22"/>
        </w:rPr>
        <w:t>The historical trend of 0% ROCE over four years indicates a potential risk of inefficient capital utilization, which could affect the company's ability to sustain profitability improvements seen in 2022-2023.</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