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from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from 2020-2021 may be caused by recovery from previous downturns or successful business strategies and affects the company's market position positively.</w:t>
      </w:r>
    </w:p>
    <w:p>
      <w:pPr>
        <w:spacing w:after="120"/>
        <w:ind w:left="360" w:hanging="360"/>
      </w:pPr>
      <w:r>
        <w:rPr>
          <w:sz w:val="22"/>
        </w:rPr>
        <w:t xml:space="preserve">• </w:t>
      </w:r>
      <w:r>
        <w:rPr>
          <w:sz w:val="22"/>
        </w:rPr>
        <w:t>The change 226.6% in parameter Revenue Growth (%) from 2021-2022 may be caused by significant business expansion or new revenue streams and affects the company's growth prospects favorably.</w:t>
      </w:r>
    </w:p>
    <w:p>
      <w:pPr>
        <w:pStyle w:val="Heading3"/>
      </w:pPr>
      <w:r>
        <w:rPr>
          <w:b/>
          <w:color w:val="C00000"/>
          <w:sz w:val="24"/>
        </w:rPr>
        <w:t>Financial Risk</w:t>
      </w:r>
    </w:p>
    <w:p>
      <w:pPr>
        <w:pStyle w:val="Heading2"/>
      </w:pPr>
      <w:r>
        <w:rPr>
          <w:b/>
          <w:color w:val="1F497D"/>
          <w:sz w:val="28"/>
        </w:rPr>
        <w:t>Analysis of EBITDA Margins (%):</w:t>
      </w:r>
    </w:p>
    <w:p>
      <w:pPr>
        <w:spacing w:after="120"/>
        <w:ind w:left="360" w:hanging="360"/>
      </w:pPr>
      <w:r>
        <w:rPr>
          <w:sz w:val="22"/>
        </w:rPr>
        <w:t xml:space="preserve">• </w:t>
      </w:r>
      <w:r>
        <w:rPr>
          <w:sz w:val="22"/>
        </w:rPr>
        <w:t>The change from 0% to 4.24% in EBITDA Margin (%) in 2022-2023 may be caused by improved operational efficiency and affects the company's profitability positively.</w:t>
      </w:r>
    </w:p>
    <w:p>
      <w:pPr>
        <w:spacing w:after="120"/>
        <w:ind w:left="360" w:hanging="360"/>
      </w:pPr>
      <w:r>
        <w:rPr>
          <w:sz w:val="22"/>
        </w:rPr>
        <w:t xml:space="preserve">• </w:t>
      </w:r>
      <w:r>
        <w:rPr>
          <w:sz w:val="22"/>
        </w:rPr>
        <w:t>The consistent 0% EBITDA Margin (%) from 2018-2022 may be caused by high operational costs relative to revenue and affects the company's ability to generate earnings before interest, taxes, depreciation, and amortization.</w:t>
      </w:r>
    </w:p>
    <w:p>
      <w:pPr>
        <w:spacing w:after="120"/>
        <w:ind w:left="360" w:hanging="360"/>
      </w:pPr>
      <w:r>
        <w:rPr>
          <w:sz w:val="22"/>
        </w:rPr>
        <w:t xml:space="preserve">• </w:t>
      </w:r>
      <w:r>
        <w:rPr>
          <w:sz w:val="22"/>
        </w:rPr>
        <w:t>The sudden increase to 4.24% in 2022-2023 may be caused by a reduction in operational expenses or an increase in revenue and affects the company's attractiveness to potential investors or lenders.</w:t>
      </w:r>
    </w:p>
    <w:p>
      <w:pPr>
        <w:pStyle w:val="Heading3"/>
      </w:pPr>
      <w:r>
        <w:rPr>
          <w:b/>
          <w:color w:val="C00000"/>
          <w:sz w:val="24"/>
        </w:rPr>
        <w:t>Financial Risk</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