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Sales have shown significant fluctuations over the years, most notably with a sharp decline from 2018 to 2019 by 83.45%, going from 5,717.67 to 869.28. However, there's a notable recovery projected in 2024 with an increase to 7,500, suggesting a strong rebound in sales of services.</w:t>
        <w:br/>
        <w:br/>
        <w:t>The cost of sales has been controlled effectively, as key expenses like cost of materials and stock in trade remain null. This indicates a focus on service delivery without significant inventory costs. Sharp practices in vendor negotiations or cost-saving measures might have contributed to cost efficiency over the past years.</w:t>
        <w:br/>
        <w:br/>
        <w:t>Other expenses have experienced significant volatility, particularly with a major increase from 1,599.31 in 2020 to 6,023.45 in 2022. This suggests that external factors or expansion costs have heavily influenced operational costs. Projected expenses remain high in 2024 at 6,235.37, pointing to sustained or increased operational activities.</w:t>
        <w:br/>
        <w:br/>
        <w:t>Depreciation expenses remained fairly steady with minor fluctuations, except for a previous drop to 0 in 2022, possibly due to a short-term halt in capital investment or asset disposal. The reintroduction of depreciation in 2024 to 6.5 indicates resumed capital expenditure or potential acquisition of assets.</w:t>
        <w:br/>
        <w:br/>
        <w:t>Profitability saw a notable turnaround starting from a loss of 799.87 in 2018 to a profit of 560.64 in 2021. This shift demonstrates improved operational efficiencies and potential client retention or acquisition strategies. The consistency in profitability projected for 2024 shows confidence in maintaining or scaling business operations.</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