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pStyle w:val="Heading1"/>
      </w:pPr>
      <w:r>
        <w:t>Analysis</w:t>
      </w:r>
    </w:p>
    <w:p>
      <w:r>
        <w:t>The provided data represents financial information for a company, including profit and loss (P&amp;L) figures and key financial ratios over several periods. Let's break down and analyze the given data:</w:t>
        <w:br/>
        <w:br/>
        <w:t>### Profit &amp; Loss Overview</w:t>
        <w:br/>
        <w:br/>
        <w:t>1. **Revenue:**</w:t>
        <w:br/>
        <w:t xml:space="preserve">   - The company primarily generates revenue from the sale of services, with no revenue from product sales.</w:t>
        <w:br/>
        <w:t xml:space="preserve">   - There is a noticeable fluctuation in revenue from service sales across the periods, with a significant spike in the last reported period (7,500 compared to previous values).</w:t>
        <w:br/>
        <w:br/>
        <w:t>2. **Expenses:**</w:t>
        <w:br/>
        <w:t xml:space="preserve">   - Employee benefit expenses are consistently reported, affecting the overall cost structure.</w:t>
        <w:br/>
        <w:t xml:space="preserve">   - Other expenses form a significant portion of the total expenses, with no clear mention of power, fuel, or raw material consumption costs.</w:t>
        <w:br/>
        <w:t xml:space="preserve">   - Finance costs have been gradually decreasing, with last periods showing zero expenses.</w:t>
        <w:br/>
        <w:br/>
        <w:t>3. **Profitability:**</w:t>
        <w:br/>
        <w:t xml:space="preserve">   - The company showed negative profits in early periods, but there's an improving trend with eventual profitability in the later periods.</w:t>
        <w:br/>
        <w:t xml:space="preserve">   - EBITDA shows improvement with positive values in the last four periods, indicating better operational efficiency.</w:t>
        <w:br/>
        <w:br/>
        <w:t>4. **Profit Before Tax (PBT):**</w:t>
        <w:br/>
        <w:t xml:space="preserve">   - The PBT figures transition from negative in initial periods to positive in later periods, reflecting an upward trend in the company’s earnings before tax contributions.</w:t>
        <w:br/>
        <w:br/>
        <w:t>### Ratios Analysis</w:t>
        <w:br/>
        <w:br/>
        <w:t>1. **Profitability Ratios:**</w:t>
        <w:br/>
        <w:t xml:space="preserve">   - Revenue Growth (%) reflects a broad range of changes, with high growth in the later periods.</w:t>
        <w:br/>
        <w:t xml:space="preserve">   - EBITDA Margins (%) and EBT Margins (%) are initially absent but show improvement in later periods, indicating enhanced profitability.</w:t>
        <w:br/>
        <w:br/>
        <w:t>2. **Liquidity Ratios:**</w:t>
        <w:br/>
        <w:t xml:space="preserve">   - Both Current and Quick Ratios have been declining, suggesting potential liquidity challenges. A ratio below 1 may indicate potential difficulties in meeting short-term obligations.</w:t>
        <w:br/>
        <w:br/>
        <w:t>3. **Expenses Ratios:**</w:t>
        <w:br/>
        <w:t xml:space="preserve">   - Employee costs relative to sales have been fluctuating, reflecting varied periods of high and low sales relative to fixed employee costs.</w:t>
        <w:br/>
        <w:t xml:space="preserve">   - The company’s dependency on other expenses in comparison to sales is high, though these have been slightly improving.</w:t>
        <w:br/>
        <w:br/>
        <w:t>### Conclusion</w:t>
        <w:br/>
        <w:t>This financial snapshot illustrates a company undergoing a significant transition. In earlier periods, it struggled with consistent losses and poor liquidity. However, it progressively improved its operational efficiency and profitability, especially in recent periods, showing positive profit margins and revenue growth. The declining liquidity ratios, however, signal a need for improved cash flow management. The focus on service-based revenue, alongside controlling expenses, appears to be paying off in the latter parts of the financial timeline provided.</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pPr>
            <w:spacing w:before="0" w:after="0"/>
          </w:pPr>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spacing w:before="0" w:after="0"/>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