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(BRD) - Personal Loan Product</w:t>
      </w:r>
    </w:p>
    <w:p>
      <w:pPr>
        <w:pStyle w:val="Heading1"/>
      </w:pPr>
      <w:r>
        <w:t>1. Business Objective</w:t>
      </w:r>
    </w:p>
    <w:p>
      <w:r>
        <w:t>To design and implement a comprehensive Personal Loan Management System enabling end-to-end loan processing, servicing, and closure with enhanced customer experience and regulatory compliance.</w:t>
      </w:r>
    </w:p>
    <w:p>
      <w:pPr>
        <w:pStyle w:val="Heading1"/>
      </w:pPr>
      <w:r>
        <w:t>2. Product Overview</w:t>
      </w:r>
    </w:p>
    <w:p>
      <w:r>
        <w:t>The Personal Loan product allows customers to apply for unsecured loans through digital and assisted channels, enabling fast approvals, flexible repayment options, and lifecycle management.</w:t>
      </w:r>
    </w:p>
    <w:p>
      <w:pPr>
        <w:pStyle w:val="Heading1"/>
      </w:pPr>
      <w:r>
        <w:t>3. Stakeholders</w:t>
      </w:r>
    </w:p>
    <w:p>
      <w:r>
        <w:t>Banking Operations, Credit Risk Team, IT Department, Compliance Team, Customers, Customer Service Representatives.</w:t>
      </w:r>
    </w:p>
    <w:p>
      <w:pPr>
        <w:pStyle w:val="Heading1"/>
      </w:pPr>
      <w:r>
        <w:t>4. Functional Scope</w:t>
      </w:r>
    </w:p>
    <w:p>
      <w:r>
        <w:t>Customer onboarding, loan application capture, credit decisioning, payment plan generation, contract creation, loan booking, servicing, repayment processing, lifecycle management, and loan closure.</w:t>
      </w:r>
    </w:p>
    <w:p>
      <w:pPr>
        <w:pStyle w:val="Heading1"/>
      </w:pPr>
      <w:r>
        <w:t>5. Key Functional Requirements</w:t>
      </w:r>
    </w:p>
    <w:p>
      <w:r>
        <w:br/>
        <w:t>- FR-PL-001: Customer Onboarding</w:t>
        <w:br/>
        <w:t>- FR-PL-002: Customer Wish Capture</w:t>
        <w:br/>
        <w:t>- FR-PL-003: Payment Plan Generation (Decision Engine)</w:t>
        <w:br/>
        <w:t>- FR-PL-004: Contract Generation</w:t>
        <w:br/>
        <w:t>- FR-PL-005: Loan Booking</w:t>
        <w:br/>
        <w:t>- FR-PL-006: Loan Lifecycle Management</w:t>
        <w:br/>
        <w:t>- FR-PL-007: Loan Closure</w:t>
      </w:r>
    </w:p>
    <w:p>
      <w:pPr>
        <w:pStyle w:val="Heading1"/>
      </w:pPr>
      <w:r>
        <w:t>6. Non-Functional Requirements</w:t>
      </w:r>
    </w:p>
    <w:p>
      <w:r>
        <w:t>High availability (&gt;99.9%), secure authentication, data encryption, response time &lt;2 seconds, scalable architecture, audit logging.</w:t>
      </w:r>
    </w:p>
    <w:p>
      <w:pPr>
        <w:pStyle w:val="Heading1"/>
      </w:pPr>
      <w:r>
        <w:t>7. Business Rules</w:t>
      </w:r>
    </w:p>
    <w:p>
      <w:r>
        <w:t>Loan eligibility based on credit score, income validation, maximum loan limits, interest rate calculation rules, penalty rules for delinquency.</w:t>
      </w:r>
    </w:p>
    <w:p>
      <w:pPr>
        <w:pStyle w:val="Heading1"/>
      </w:pPr>
      <w:r>
        <w:t>8. Assumptions</w:t>
      </w:r>
    </w:p>
    <w:p>
      <w:r>
        <w:t>Customer data is verified via KYC systems, external credit bureau integration available, system accessible via web and mobile.</w:t>
      </w:r>
    </w:p>
    <w:p>
      <w:pPr>
        <w:pStyle w:val="Heading1"/>
      </w:pPr>
      <w:r>
        <w:t>9. Risks</w:t>
      </w:r>
    </w:p>
    <w:p>
      <w:r>
        <w:t>Regulatory changes, system integration failures, incorrect risk scoring, high default rates.</w:t>
      </w:r>
    </w:p>
    <w:p>
      <w:pPr>
        <w:pStyle w:val="Heading1"/>
      </w:pPr>
      <w:r>
        <w:t>10. High-Level Process Flow</w:t>
      </w:r>
    </w:p>
    <w:p>
      <w:r>
        <w:t>Customer → Application → Credit Check → Loan Approval → Contract → Loan Disbursement → Repayment → Closure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