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Design Document - Personal Loan - Payment Plan Generation</w:t>
      </w:r>
    </w:p>
    <w:p>
      <w:pPr>
        <w:pStyle w:val="Heading1"/>
      </w:pPr>
      <w:r>
        <w:t>1. Overview</w:t>
      </w:r>
    </w:p>
    <w:p>
      <w:r>
        <w:t>This document provides detailed technical design expanding FS into implementable architecture covering business logic, APIs, database design, and decision rules.</w:t>
      </w:r>
    </w:p>
    <w:p>
      <w:pPr>
        <w:pStyle w:val="Heading1"/>
      </w:pPr>
      <w:r>
        <w:t>2. Architecture</w:t>
      </w:r>
    </w:p>
    <w:p>
      <w:r>
        <w:t>Microservices architecture using .NET backend, MySQL database, REST API communication, and integration with external services such as Credit Bureau and KYC.</w:t>
      </w:r>
    </w:p>
    <w:p>
      <w:pPr>
        <w:pStyle w:val="Heading1"/>
      </w:pPr>
      <w:r>
        <w:t>3. Technical Flow</w:t>
      </w:r>
    </w:p>
    <w:p>
      <w:r>
        <w:t>Client Request → API Gateway → Service Layer → Validation → Decision Engine → Database → Response</w:t>
      </w:r>
    </w:p>
    <w:p>
      <w:pPr>
        <w:pStyle w:val="Heading1"/>
      </w:pPr>
      <w:r>
        <w:t>4. API Design</w:t>
      </w:r>
    </w:p>
    <w:p>
      <w:r>
        <w:t>POST /api/module</w:t>
        <w:br/>
        <w:t>GET /api/module/{id}</w:t>
        <w:br/>
        <w:t>PUT /api/module/{id}</w:t>
        <w:br/>
        <w:t>Includes authentication headers, validation schema.</w:t>
      </w:r>
    </w:p>
    <w:p>
      <w:pPr>
        <w:pStyle w:val="Heading1"/>
      </w:pPr>
      <w:r>
        <w:t>5. Data Model</w:t>
      </w:r>
    </w:p>
    <w:p>
      <w:r>
        <w:t>Tables: Customer, Loan, PaymentPlan, Transaction.</w:t>
        <w:br/>
        <w:t>Each includes primary keys, foreign keys and normalization rules.</w:t>
      </w:r>
    </w:p>
    <w:p>
      <w:pPr>
        <w:pStyle w:val="Heading1"/>
      </w:pPr>
      <w:r>
        <w:t>6. Parameter Design</w:t>
      </w:r>
    </w:p>
    <w:p>
      <w:r>
        <w:t>Interest Rate Range: 8% - 24%</w:t>
        <w:br/>
        <w:t>Loan Tenure: 6–60 months</w:t>
        <w:br/>
        <w:t>Min Amount: 10,000</w:t>
        <w:br/>
        <w:t>Max Amount: 20,00,000</w:t>
      </w:r>
    </w:p>
    <w:p>
      <w:pPr>
        <w:pStyle w:val="Heading1"/>
      </w:pPr>
      <w:r>
        <w:t>7. Decision Engine Rules</w:t>
      </w:r>
    </w:p>
    <w:p>
      <w:r>
        <w:t>Credit score &gt; 750: Auto approval</w:t>
        <w:br/>
        <w:t>650–750: Conditional approval</w:t>
        <w:br/>
        <w:t>&lt;650: Reject or manual review</w:t>
        <w:br/>
        <w:t>Income ratio and risk multipliers applied.</w:t>
      </w:r>
    </w:p>
    <w:p>
      <w:pPr>
        <w:pStyle w:val="Heading1"/>
      </w:pPr>
      <w:r>
        <w:t>8. Boundary Conditions</w:t>
      </w:r>
    </w:p>
    <w:p>
      <w:r>
        <w:t>Zero income, max exposure exceeded, invalid tenure, system timeout—should trigger graceful error.</w:t>
      </w:r>
    </w:p>
    <w:p>
      <w:pPr>
        <w:pStyle w:val="Heading1"/>
      </w:pPr>
      <w:r>
        <w:t>9. Error Handling</w:t>
      </w:r>
    </w:p>
    <w:p>
      <w:r>
        <w:t>Try-catch layers, retry mechanism for integration, fallback logic.</w:t>
      </w:r>
    </w:p>
    <w:p>
      <w:pPr>
        <w:pStyle w:val="Heading1"/>
      </w:pPr>
      <w:r>
        <w:t>10. Security</w:t>
      </w:r>
    </w:p>
    <w:p>
      <w:r>
        <w:t>JWT authentication, role-based access, encryption of sensitive fields, audit logging.</w:t>
      </w:r>
    </w:p>
    <w:p>
      <w:pPr>
        <w:pStyle w:val="Heading1"/>
      </w:pPr>
      <w:r>
        <w:t>11. Performance</w:t>
      </w:r>
    </w:p>
    <w:p>
      <w:r>
        <w:t>Response time &lt; 2s, scalable via horizontal scaling, caching for repeated queries.</w:t>
      </w:r>
    </w:p>
    <w:p>
      <w:pPr>
        <w:pStyle w:val="Heading1"/>
      </w:pPr>
      <w:r>
        <w:t>12. Traceability</w:t>
      </w:r>
    </w:p>
    <w:p>
      <w:r>
        <w:t>Mapped to FS-PL-PAYPLAN-001 → BRD-PL-001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