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Calibri" w:cs="Calibri" w:eastAsia="Calibri" w:hAnsi="Calibri"/>
          <w:color w:val="595959"/>
          <w:sz w:val="28"/>
          <w:szCs w:val="28"/>
        </w:rPr>
        <w:t xml:space="preserve">Virtual Data Science Internship (Python)</w:t>
      </w:r>
    </w:p>
    <w:p>
      <w:pPr>
        <w:spacing w:after="200"/>
      </w:pPr>
      <w:r>
        <w:rPr>
          <w:rFonts w:ascii="Calibri" w:cs="Calibri" w:eastAsia="Calibri" w:hAnsi="Calibri"/>
          <w:b/>
          <w:bCs/>
          <w:color w:val="1F3864"/>
          <w:sz w:val="64"/>
          <w:szCs w:val="64"/>
        </w:rPr>
        <w:t xml:space="preserve">Week 2 Report</w:t>
      </w:r>
    </w:p>
    <w:p>
      <w:pPr>
        <w:pBdr>
          <w:bottom w:val="single" w:color="1F3864" w:sz="12" w:space="8"/>
        </w:pBdr>
        <w:spacing w:after="600"/>
      </w:pPr>
      <w:r>
        <w:rPr>
          <w:rFonts w:ascii="Calibri" w:cs="Calibri" w:eastAsia="Calibri" w:hAnsi="Calibri"/>
          <w:color w:val="1F3864"/>
          <w:sz w:val="32"/>
          <w:szCs w:val="32"/>
        </w:rPr>
        <w:t xml:space="preserve">Advanced Data Visualization and Storytelling with Python</w:t>
      </w:r>
    </w:p>
    <w:p>
      <w:pPr>
        <w:spacing w:after="120" w:line="276"/>
      </w:pPr>
      <w:r>
        <w:rPr>
          <w:rFonts w:ascii="Calibri" w:cs="Calibri" w:eastAsia="Calibri" w:hAnsi="Calibri"/>
          <w:b/>
          <w:bCs/>
          <w:sz w:val="22"/>
          <w:szCs w:val="22"/>
        </w:rPr>
        <w:t xml:space="preserve">Story: </w:t>
      </w:r>
      <w:r>
        <w:rPr>
          <w:rFonts w:ascii="Calibri" w:cs="Calibri" w:eastAsia="Calibri" w:hAnsi="Calibri"/>
          <w:sz w:val="22"/>
          <w:szCs w:val="22"/>
        </w:rPr>
        <w:t xml:space="preserve">What separates benign from malignant breast tissue samples, and how much can a few simple clues tell us?</w:t>
      </w:r>
    </w:p>
    <w:p>
      <w:pPr>
        <w:spacing w:after="120" w:line="276"/>
      </w:pPr>
      <w:r>
        <w:rPr>
          <w:rFonts w:ascii="Calibri" w:cs="Calibri" w:eastAsia="Calibri" w:hAnsi="Calibri"/>
          <w:b/>
          <w:bCs/>
          <w:sz w:val="22"/>
          <w:szCs w:val="22"/>
        </w:rPr>
        <w:t xml:space="preserve">Dataset: </w:t>
      </w:r>
      <w:r>
        <w:rPr>
          <w:rFonts w:ascii="Calibri" w:cs="Calibri" w:eastAsia="Calibri" w:hAnsi="Calibri"/>
          <w:sz w:val="22"/>
          <w:szCs w:val="22"/>
        </w:rPr>
        <w:t xml:space="preserve">Breast Cancer Wisconsin (Diagnostic), 569 samples</w:t>
      </w:r>
    </w:p>
    <w:p>
      <w:pPr>
        <w:spacing w:after="120" w:line="276"/>
      </w:pPr>
      <w:r>
        <w:rPr>
          <w:rFonts w:ascii="Calibri" w:cs="Calibri" w:eastAsia="Calibri" w:hAnsi="Calibri"/>
          <w:b/>
          <w:bCs/>
          <w:sz w:val="22"/>
          <w:szCs w:val="22"/>
        </w:rPr>
        <w:t xml:space="preserve">Tools: </w:t>
      </w:r>
      <w:r>
        <w:rPr>
          <w:rFonts w:ascii="Calibri" w:cs="Calibri" w:eastAsia="Calibri" w:hAnsi="Calibri"/>
          <w:sz w:val="22"/>
          <w:szCs w:val="22"/>
        </w:rPr>
        <w:t xml:space="preserve">Python, Pandas, Matplotlib, Seaborn, scikit-learn</w:t>
      </w:r>
    </w:p>
    <w:p>
      <w:pPr>
        <w:spacing w:after="120" w:line="276"/>
      </w:pPr>
      <w:r>
        <w:rPr>
          <w:rFonts w:ascii="Calibri" w:cs="Calibri" w:eastAsia="Calibri" w:hAnsi="Calibri"/>
          <w:b/>
          <w:bCs/>
          <w:sz w:val="22"/>
          <w:szCs w:val="22"/>
        </w:rPr>
        <w:t xml:space="preserve">Name: </w:t>
      </w:r>
      <w:r>
        <w:rPr>
          <w:rFonts w:ascii="Calibri" w:cs="Calibri" w:eastAsia="Calibri" w:hAnsi="Calibri"/>
          <w:sz w:val="22"/>
          <w:szCs w:val="22"/>
        </w:rPr>
        <w:t xml:space="preserve">Sameera P</w:t>
      </w:r>
    </w:p>
    <w:p>
      <w:pPr>
        <w:spacing w:after="120" w:line="276"/>
      </w:pPr>
      <w:r>
        <w:rPr>
          <w:rFonts w:ascii="Calibri" w:cs="Calibri" w:eastAsia="Calibri" w:hAnsi="Calibri"/>
          <w:b/>
          <w:bCs/>
          <w:sz w:val="22"/>
          <w:szCs w:val="22"/>
        </w:rPr>
        <w:t xml:space="preserve">Date: </w:t>
      </w:r>
      <w:r>
        <w:rPr>
          <w:rFonts w:ascii="Calibri" w:cs="Calibri" w:eastAsia="Calibri" w:hAnsi="Calibri"/>
          <w:sz w:val="22"/>
          <w:szCs w:val="22"/>
        </w:rPr>
        <w:t xml:space="preserve">29 October 2026</w:t>
      </w:r>
    </w:p>
    <w:p>
      <w:pPr>
        <w:spacing w:after="120" w:line="276"/>
      </w:pPr>
      <w:r>
        <w:rPr>
          <w:rFonts w:ascii="Calibri" w:cs="Calibri" w:eastAsia="Calibri" w:hAnsi="Calibri"/>
          <w:b/>
          <w:bCs/>
          <w:sz w:val="22"/>
          <w:szCs w:val="22"/>
        </w:rPr>
        <w:t xml:space="preserve">GitHub repository: </w:t>
      </w:r>
      <w:r>
        <w:rPr>
          <w:rFonts w:ascii="Calibri" w:cs="Calibri" w:eastAsia="Calibri" w:hAnsi="Calibri"/>
          <w:sz w:val="22"/>
          <w:szCs w:val="22"/>
        </w:rPr>
        <w:t xml:space="preserve">https://github.com/SameeraPeer/Virtual-Data-Science-with-Python/tree/main/week2_project</w:t>
      </w:r>
    </w:p>
    <w:p>
      <w:r>
        <w:br w:type="page"/>
      </w:r>
    </w:p>
    <w:p>
      <w:pPr>
        <w:pStyle w:val="Heading1"/>
      </w:pPr>
      <w:r>
        <w:rPr>
          <w:rFonts w:ascii="Calibri" w:cs="Calibri" w:eastAsia="Calibri" w:hAnsi="Calibri"/>
        </w:rPr>
        <w:t xml:space="preserve">1. Introduction and Executive Summary</w:t>
      </w:r>
    </w:p>
    <w:p>
      <w:pPr>
        <w:spacing w:after="120" w:line="276"/>
      </w:pPr>
      <w:r>
        <w:rPr>
          <w:rFonts w:ascii="Calibri" w:cs="Calibri" w:eastAsia="Calibri" w:hAnsi="Calibri"/>
          <w:sz w:val="22"/>
          <w:szCs w:val="22"/>
        </w:rPr>
        <w:t xml:space="preserve">Good analysis is only useful if the people who need it can understand it. This week's task is to turn a complex dataset into a visual narrative for a non-technical audience. I wrote this report for an imagined reader such as a hospital manager or a research funder: intelligent, short of time, and not familiar with statistics.</w:t>
      </w:r>
    </w:p>
    <w:p>
      <w:pPr>
        <w:spacing w:after="120" w:line="276"/>
      </w:pPr>
      <w:r>
        <w:rPr>
          <w:rFonts w:ascii="Calibri" w:cs="Calibri" w:eastAsia="Calibri" w:hAnsi="Calibri"/>
          <w:sz w:val="22"/>
          <w:szCs w:val="22"/>
        </w:rPr>
        <w:t xml:space="preserve">I chose a medical dataset because the stakes make clarity important, and because it has a natural storyline. Each of the 569 samples describes cell nuclei from a breast tissue image with 30 measurements and carries a diagnosis of benign or malignant. The story is built around a single question: what separates the two groups, and how much can a few simple clues tell us? Seven charts answer it step by step, and each chart has one job.</w:t>
      </w:r>
    </w:p>
    <w:p>
      <w:pPr>
        <w:pStyle w:val="Heading2"/>
      </w:pPr>
      <w:r>
        <w:rPr>
          <w:rFonts w:ascii="Calibri" w:cs="Calibri" w:eastAsia="Calibri" w:hAnsi="Calibri"/>
        </w:rPr>
        <w:t xml:space="preserve">The story in six findings</w:t>
      </w:r>
    </w:p>
    <w:p>
      <w:pPr>
        <w:pStyle w:val="ListParagraph"/>
        <w:numPr>
          <w:ilvl w:val="0"/>
          <w:numId w:val="2"/>
        </w:numPr>
        <w:spacing w:after="60" w:line="276"/>
      </w:pPr>
      <w:r>
        <w:rPr>
          <w:rFonts w:ascii="Calibri" w:cs="Calibri" w:eastAsia="Calibri" w:hAnsi="Calibri"/>
          <w:b/>
          <w:bCs/>
          <w:sz w:val="22"/>
          <w:szCs w:val="22"/>
        </w:rPr>
        <w:t xml:space="preserve">Size and shape differ clearly. </w:t>
      </w:r>
      <w:r>
        <w:rPr>
          <w:rFonts w:ascii="Calibri" w:cs="Calibri" w:eastAsia="Calibri" w:hAnsi="Calibri"/>
          <w:sz w:val="22"/>
          <w:szCs w:val="22"/>
        </w:rPr>
        <w:t xml:space="preserve">Malignant samples have a median average radius of 17.3 compared with 12.2 for benign samples, and their outlines have nearly four times as many dents.</w:t>
      </w:r>
    </w:p>
    <w:p>
      <w:pPr>
        <w:pStyle w:val="ListParagraph"/>
        <w:numPr>
          <w:ilvl w:val="0"/>
          <w:numId w:val="2"/>
        </w:numPr>
        <w:spacing w:after="60" w:line="276"/>
      </w:pPr>
      <w:r>
        <w:rPr>
          <w:rFonts w:ascii="Calibri" w:cs="Calibri" w:eastAsia="Calibri" w:hAnsi="Calibri"/>
          <w:b/>
          <w:bCs/>
          <w:sz w:val="22"/>
          <w:szCs w:val="22"/>
        </w:rPr>
        <w:t xml:space="preserve">The most extreme cells are the best clues. </w:t>
      </w:r>
      <w:r>
        <w:rPr>
          <w:rFonts w:ascii="Calibri" w:cs="Calibri" w:eastAsia="Calibri" w:hAnsi="Calibri"/>
          <w:sz w:val="22"/>
          <w:szCs w:val="22"/>
        </w:rPr>
        <w:t xml:space="preserve">Four of the five strongest single measurements describe the worst (most extreme) cells in a sample rather than the average cell.</w:t>
      </w:r>
    </w:p>
    <w:p>
      <w:pPr>
        <w:pStyle w:val="ListParagraph"/>
        <w:numPr>
          <w:ilvl w:val="0"/>
          <w:numId w:val="2"/>
        </w:numPr>
        <w:spacing w:after="60" w:line="276"/>
      </w:pPr>
      <w:r>
        <w:rPr>
          <w:rFonts w:ascii="Calibri" w:cs="Calibri" w:eastAsia="Calibri" w:hAnsi="Calibri"/>
          <w:b/>
          <w:bCs/>
          <w:sz w:val="22"/>
          <w:szCs w:val="22"/>
        </w:rPr>
        <w:t xml:space="preserve">Many measurements repeat each other. </w:t>
      </w:r>
      <w:r>
        <w:rPr>
          <w:rFonts w:ascii="Calibri" w:cs="Calibri" w:eastAsia="Calibri" w:hAnsi="Calibri"/>
          <w:sz w:val="22"/>
          <w:szCs w:val="22"/>
        </w:rPr>
        <w:t xml:space="preserve">21 of the 435 pairs of measurements correlate above 0.9, so 30 measurements do not mean 30 independent clues.</w:t>
      </w:r>
    </w:p>
    <w:p>
      <w:pPr>
        <w:pStyle w:val="ListParagraph"/>
        <w:numPr>
          <w:ilvl w:val="0"/>
          <w:numId w:val="2"/>
        </w:numPr>
        <w:spacing w:after="60" w:line="276"/>
      </w:pPr>
      <w:r>
        <w:rPr>
          <w:rFonts w:ascii="Calibri" w:cs="Calibri" w:eastAsia="Calibri" w:hAnsi="Calibri"/>
          <w:b/>
          <w:bCs/>
          <w:sz w:val="22"/>
          <w:szCs w:val="22"/>
        </w:rPr>
        <w:t xml:space="preserve">Two clues go a long way. </w:t>
      </w:r>
      <w:r>
        <w:rPr>
          <w:rFonts w:ascii="Calibri" w:cs="Calibri" w:eastAsia="Calibri" w:hAnsi="Calibri"/>
          <w:sz w:val="22"/>
          <w:szCs w:val="22"/>
        </w:rPr>
        <w:t xml:space="preserve">Worst radius and worst concave points place 421 of the 569 samples (74.0%) in zones where 418 of them (99.3%) share the same diagnosis.</w:t>
      </w:r>
    </w:p>
    <w:p>
      <w:pPr>
        <w:pStyle w:val="ListParagraph"/>
        <w:numPr>
          <w:ilvl w:val="0"/>
          <w:numId w:val="2"/>
        </w:numPr>
        <w:spacing w:after="60" w:line="276"/>
      </w:pPr>
      <w:r>
        <w:rPr>
          <w:rFonts w:ascii="Calibri" w:cs="Calibri" w:eastAsia="Calibri" w:hAnsi="Calibri"/>
          <w:b/>
          <w:bCs/>
          <w:sz w:val="22"/>
          <w:szCs w:val="22"/>
        </w:rPr>
        <w:t xml:space="preserve">Risk climbs steadily with size. </w:t>
      </w:r>
      <w:r>
        <w:rPr>
          <w:rFonts w:ascii="Calibri" w:cs="Calibri" w:eastAsia="Calibri" w:hAnsi="Calibri"/>
          <w:sz w:val="22"/>
          <w:szCs w:val="22"/>
        </w:rPr>
        <w:t xml:space="preserve">The share of malignant samples rises from 0% for the smallest cells to 100% for the largest.</w:t>
      </w:r>
    </w:p>
    <w:p>
      <w:pPr>
        <w:pStyle w:val="ListParagraph"/>
        <w:numPr>
          <w:ilvl w:val="0"/>
          <w:numId w:val="2"/>
        </w:numPr>
        <w:spacing w:after="60" w:line="276"/>
      </w:pPr>
      <w:r>
        <w:rPr>
          <w:rFonts w:ascii="Calibri" w:cs="Calibri" w:eastAsia="Calibri" w:hAnsi="Calibri"/>
          <w:b/>
          <w:bCs/>
          <w:sz w:val="22"/>
          <w:szCs w:val="22"/>
        </w:rPr>
        <w:t xml:space="preserve">A grey zone remains. </w:t>
      </w:r>
      <w:r>
        <w:rPr>
          <w:rFonts w:ascii="Calibri" w:cs="Calibri" w:eastAsia="Calibri" w:hAnsi="Calibri"/>
          <w:sz w:val="22"/>
          <w:szCs w:val="22"/>
        </w:rPr>
        <w:t xml:space="preserve">The other 148 samples (26.0%) are split 50/50 and need more evidence than these two clues can give.</w:t>
      </w:r>
    </w:p>
    <w:p>
      <w:pPr>
        <w:spacing w:after="120"/>
      </w:pPr>
    </w:p>
    <w:p>
      <w:pPr>
        <w:spacing w:after="120" w:line="276"/>
      </w:pPr>
      <w:r>
        <w:rPr>
          <w:rFonts w:ascii="Calibri" w:cs="Calibri" w:eastAsia="Calibri" w:hAnsi="Calibri"/>
          <w:sz w:val="22"/>
          <w:szCs w:val="22"/>
        </w:rPr>
        <w:t xml:space="preserve">The report is organised as follows: Section 2 describes the dataset, Section 3 explains the design and methods behind the visuals, Section 4 presents the seven visualizations and the story they tell, Section 5 summarises the narrative, Section 6 discusses scientific and business implications, and Sections 7 and 8 cover limitations and conclusions.</w:t>
      </w:r>
    </w:p>
    <w:p>
      <w:pPr>
        <w:pStyle w:val="Heading1"/>
      </w:pPr>
      <w:r>
        <w:rPr>
          <w:rFonts w:ascii="Calibri" w:cs="Calibri" w:eastAsia="Calibri" w:hAnsi="Calibri"/>
        </w:rPr>
        <w:t xml:space="preserve">2. Dataset and Preparation</w:t>
      </w:r>
    </w:p>
    <w:p>
      <w:pPr>
        <w:pStyle w:val="Heading2"/>
      </w:pPr>
      <w:r>
        <w:rPr>
          <w:rFonts w:ascii="Calibri" w:cs="Calibri" w:eastAsia="Calibri" w:hAnsi="Calibri"/>
        </w:rPr>
        <w:t xml:space="preserve">2.1 Source</w:t>
      </w:r>
    </w:p>
    <w:p>
      <w:pPr>
        <w:spacing w:after="120" w:line="276"/>
      </w:pPr>
      <w:r>
        <w:rPr>
          <w:rFonts w:ascii="Calibri" w:cs="Calibri" w:eastAsia="Calibri" w:hAnsi="Calibri"/>
          <w:sz w:val="22"/>
          <w:szCs w:val="22"/>
        </w:rPr>
        <w:t xml:space="preserve">The Breast Cancer Wisconsin (Diagnostic) dataset was created by researchers at the University of Wisconsin and is hosted by the UCI Machine Learning Repository. It is also distributed with the scikit-learn library, which means anyone can load it with one line of Python and no download. Its availability and its use in teaching make the results of this report easy to reproduce and check.</w:t>
      </w:r>
    </w:p>
    <w:p>
      <w:pPr>
        <w:spacing w:after="120" w:line="276"/>
      </w:pPr>
      <w:r>
        <w:rPr>
          <w:rFonts w:ascii="Calibri" w:cs="Calibri" w:eastAsia="Calibri" w:hAnsi="Calibri"/>
          <w:sz w:val="22"/>
          <w:szCs w:val="22"/>
        </w:rPr>
        <w:t xml:space="preserve">Each sample comes from a digitised image of a fine needle aspirate of a breast mass. Software outlined the cell nuclei in the image and measured them. The diagnosis (benign or malignant) was recorded for every sample.</w:t>
      </w:r>
    </w:p>
    <w:p>
      <w:pPr>
        <w:pStyle w:val="Heading2"/>
      </w:pPr>
      <w:r>
        <w:rPr>
          <w:rFonts w:ascii="Calibri" w:cs="Calibri" w:eastAsia="Calibri" w:hAnsi="Calibri"/>
        </w:rPr>
        <w:t xml:space="preserve">2.2 What was measured</w:t>
      </w:r>
    </w:p>
    <w:p>
      <w:pPr>
        <w:spacing w:after="120" w:line="276"/>
      </w:pPr>
      <w:r>
        <w:rPr>
          <w:rFonts w:ascii="Calibri" w:cs="Calibri" w:eastAsia="Calibri" w:hAnsi="Calibri"/>
          <w:sz w:val="22"/>
          <w:szCs w:val="22"/>
        </w:rPr>
        <w:t xml:space="preserve">Ten basic properties of the nuclei were measured. For each property the dataset holds three values: the mean (the average nucleus), the standard error (how much the nuclei vary), and the worst (the mean of the three largest values, which describes the most extreme nuclei). Ten properties times three values gives 30 measurements. The plain-English names below are used in all charts.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4426"/>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Measurement</w:t>
            </w:r>
          </w:p>
        </w:tc>
        <w:tc>
          <w:tcPr>
            <w:tcW w:type="dxa" w:w="2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Name used in charts</w:t>
            </w:r>
          </w:p>
        </w:tc>
        <w:tc>
          <w:tcPr>
            <w:tcW w:type="dxa" w:w="44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What it means</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Radius</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Size</w:t>
            </w:r>
          </w:p>
        </w:tc>
        <w:tc>
          <w:tcPr>
            <w:tcW w:type="dxa" w:w="4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Average distance from the centre of the nucleus to its edge</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Texture</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Roughness</w:t>
            </w:r>
          </w:p>
        </w:tc>
        <w:tc>
          <w:tcPr>
            <w:tcW w:type="dxa" w:w="4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How much the grey shades inside the nucleus vary</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Perimeter</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Outline length</w:t>
            </w:r>
          </w:p>
        </w:tc>
        <w:tc>
          <w:tcPr>
            <w:tcW w:type="dxa" w:w="4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Length of the nucleus outline</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Area</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Area</w:t>
            </w:r>
          </w:p>
        </w:tc>
        <w:tc>
          <w:tcPr>
            <w:tcW w:type="dxa" w:w="4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Area covered by the nucleus</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Smoothness</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Smoothness</w:t>
            </w:r>
          </w:p>
        </w:tc>
        <w:tc>
          <w:tcPr>
            <w:tcW w:type="dxa" w:w="4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How much the radius lengths vary locally (smooth or bumpy edge)</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Compactness</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Compactness</w:t>
            </w:r>
          </w:p>
        </w:tc>
        <w:tc>
          <w:tcPr>
            <w:tcW w:type="dxa" w:w="4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How tightly packed the shape is</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Concavity</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Depth of dents</w:t>
            </w:r>
          </w:p>
        </w:tc>
        <w:tc>
          <w:tcPr>
            <w:tcW w:type="dxa" w:w="4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How deep the dents in the outline are</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Concave points</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Dents in outline</w:t>
            </w:r>
          </w:p>
        </w:tc>
        <w:tc>
          <w:tcPr>
            <w:tcW w:type="dxa" w:w="4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How many dents the outline has</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Symmetry</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Symmetry</w:t>
            </w:r>
          </w:p>
        </w:tc>
        <w:tc>
          <w:tcPr>
            <w:tcW w:type="dxa" w:w="4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How symmetrical the shape is</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Fractal dimension</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Jaggedness</w:t>
            </w:r>
          </w:p>
        </w:tc>
        <w:tc>
          <w:tcPr>
            <w:tcW w:type="dxa" w:w="4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How jagged or complex the outline is</w:t>
            </w:r>
          </w:p>
        </w:tc>
      </w:tr>
    </w:tbl>
    <w:p>
      <w:pPr>
        <w:spacing w:after="120"/>
      </w:pPr>
    </w:p>
    <w:p>
      <w:pPr>
        <w:pStyle w:val="Heading2"/>
      </w:pPr>
      <w:r>
        <w:rPr>
          <w:rFonts w:ascii="Calibri" w:cs="Calibri" w:eastAsia="Calibri" w:hAnsi="Calibri"/>
        </w:rPr>
        <w:t xml:space="preserve">2.3 Data checks and preparation</w:t>
      </w:r>
    </w:p>
    <w:p>
      <w:pPr>
        <w:spacing w:after="120" w:line="276"/>
      </w:pPr>
      <w:r>
        <w:rPr>
          <w:rFonts w:ascii="Calibri" w:cs="Calibri" w:eastAsia="Calibri" w:hAnsi="Calibri"/>
          <w:sz w:val="22"/>
          <w:szCs w:val="22"/>
        </w:rPr>
        <w:t xml:space="preserve">Before drawing any chart the data was checked. The dataset has 569 rows and 30 measurements plus the diagnosis. There are no missing values and no duplicate rows, so no cleaning was needed. The preparation was therefore limited to three steps:</w:t>
      </w:r>
    </w:p>
    <w:p>
      <w:pPr>
        <w:pStyle w:val="ListParagraph"/>
        <w:numPr>
          <w:ilvl w:val="0"/>
          <w:numId w:val="3"/>
        </w:numPr>
        <w:spacing w:after="60" w:line="276"/>
      </w:pPr>
      <w:r>
        <w:rPr>
          <w:rFonts w:ascii="Calibri" w:cs="Calibri" w:eastAsia="Calibri" w:hAnsi="Calibri"/>
          <w:sz w:val="22"/>
          <w:szCs w:val="22"/>
        </w:rPr>
        <w:t xml:space="preserve">The numeric target in scikit-learn (0 = malignant, 1 = benign) was converted into the labels Malignant and Benign, so that nothing in the report can be misread.</w:t>
      </w:r>
    </w:p>
    <w:p>
      <w:pPr>
        <w:pStyle w:val="ListParagraph"/>
        <w:numPr>
          <w:ilvl w:val="0"/>
          <w:numId w:val="3"/>
        </w:numPr>
        <w:spacing w:after="60" w:line="276"/>
      </w:pPr>
      <w:r>
        <w:rPr>
          <w:rFonts w:ascii="Calibri" w:cs="Calibri" w:eastAsia="Calibri" w:hAnsi="Calibri"/>
          <w:sz w:val="22"/>
          <w:szCs w:val="22"/>
        </w:rPr>
        <w:t xml:space="preserve">A numeric indicator (1 = malignant) was added for calculations.</w:t>
      </w:r>
    </w:p>
    <w:p>
      <w:pPr>
        <w:pStyle w:val="ListParagraph"/>
        <w:numPr>
          <w:ilvl w:val="0"/>
          <w:numId w:val="3"/>
        </w:numPr>
        <w:spacing w:after="60" w:line="276"/>
      </w:pPr>
      <w:r>
        <w:rPr>
          <w:rFonts w:ascii="Calibri" w:cs="Calibri" w:eastAsia="Calibri" w:hAnsi="Calibri"/>
          <w:sz w:val="22"/>
          <w:szCs w:val="22"/>
        </w:rPr>
        <w:t xml:space="preserve">Samples were grouped into six size bands using the worst radius, for the risk chart in Figure 6.</w:t>
      </w:r>
    </w:p>
    <w:p>
      <w:pPr>
        <w:keepLines/>
        <w:shd w:fill="F3F4F6" w:color="auto" w:val="clear"/>
        <w:spacing w:after="0" w:before="80" w:line="240"/>
        <w:ind w:left="120" w:right="120"/>
      </w:pPr>
      <w:r>
        <w:rPr>
          <w:rFonts w:ascii="Courier New" w:cs="Courier New" w:eastAsia="Courier New" w:hAnsi="Courier New"/>
          <w:sz w:val="18"/>
          <w:szCs w:val="18"/>
        </w:rPr>
        <w:t xml:space="preserve">from sklearn.datasets import load_breast_cancer</w:t>
      </w:r>
    </w:p>
    <w:p>
      <w:pPr>
        <w:keepLines/>
        <w:shd w:fill="F3F4F6" w:color="auto" w:val="clear"/>
        <w:spacing w:after="0" w:line="240"/>
        <w:ind w:left="120" w:right="120"/>
      </w:pPr>
      <w:r>
        <w:rPr>
          <w:rFonts w:ascii="Courier New" w:cs="Courier New" w:eastAsia="Courier New" w:hAnsi="Courier New"/>
          <w:sz w:val="18"/>
          <w:szCs w:val="18"/>
        </w:rPr>
        <w:t xml:space="preserve"> </w:t>
      </w:r>
    </w:p>
    <w:p>
      <w:pPr>
        <w:keepLines/>
        <w:shd w:fill="F3F4F6" w:color="auto" w:val="clear"/>
        <w:spacing w:after="0" w:line="240"/>
        <w:ind w:left="120" w:right="120"/>
      </w:pPr>
      <w:r>
        <w:rPr>
          <w:rFonts w:ascii="Courier New" w:cs="Courier New" w:eastAsia="Courier New" w:hAnsi="Courier New"/>
          <w:sz w:val="18"/>
          <w:szCs w:val="18"/>
        </w:rPr>
        <w:t xml:space="preserve">raw = load_breast_cancer(as_frame=True)</w:t>
      </w:r>
    </w:p>
    <w:p>
      <w:pPr>
        <w:keepLines/>
        <w:shd w:fill="F3F4F6" w:color="auto" w:val="clear"/>
        <w:spacing w:after="0" w:line="240"/>
        <w:ind w:left="120" w:right="120"/>
      </w:pPr>
      <w:r>
        <w:rPr>
          <w:rFonts w:ascii="Courier New" w:cs="Courier New" w:eastAsia="Courier New" w:hAnsi="Courier New"/>
          <w:sz w:val="18"/>
          <w:szCs w:val="18"/>
        </w:rPr>
        <w:t xml:space="preserve">df = raw.frame.copy()</w:t>
      </w:r>
    </w:p>
    <w:p>
      <w:pPr>
        <w:keepLines/>
        <w:shd w:fill="F3F4F6" w:color="auto" w:val="clear"/>
        <w:spacing w:after="0" w:line="240"/>
        <w:ind w:left="120" w:right="120"/>
      </w:pPr>
      <w:r>
        <w:rPr>
          <w:rFonts w:ascii="Courier New" w:cs="Courier New" w:eastAsia="Courier New" w:hAnsi="Courier New"/>
          <w:sz w:val="18"/>
          <w:szCs w:val="18"/>
        </w:rPr>
        <w:t xml:space="preserve">df["diagnosis"] = df["target"].map({0: "Malignant", 1: "Benign"})   # 0 = malignant</w:t>
      </w:r>
    </w:p>
    <w:p>
      <w:pPr>
        <w:keepLines/>
        <w:shd w:fill="F3F4F6" w:color="auto" w:val="clear"/>
        <w:spacing w:after="0" w:line="240"/>
        <w:ind w:left="120" w:right="120"/>
      </w:pPr>
      <w:r>
        <w:rPr>
          <w:rFonts w:ascii="Courier New" w:cs="Courier New" w:eastAsia="Courier New" w:hAnsi="Courier New"/>
          <w:sz w:val="18"/>
          <w:szCs w:val="18"/>
        </w:rPr>
        <w:t xml:space="preserve">df = df.drop(columns="target")</w:t>
      </w:r>
    </w:p>
    <w:p>
      <w:pPr>
        <w:keepLines/>
        <w:shd w:fill="F3F4F6" w:color="auto" w:val="clear"/>
        <w:spacing w:after="0" w:line="240"/>
        <w:ind w:left="120" w:right="120"/>
      </w:pPr>
      <w:r>
        <w:rPr>
          <w:rFonts w:ascii="Courier New" w:cs="Courier New" w:eastAsia="Courier New" w:hAnsi="Courier New"/>
          <w:sz w:val="18"/>
          <w:szCs w:val="18"/>
        </w:rPr>
        <w:t xml:space="preserve">df.to_csv("data/raw/breast_cancer_wisconsin.csv", index=False)</w:t>
      </w:r>
    </w:p>
    <w:p>
      <w:pPr>
        <w:keepLines/>
        <w:shd w:fill="F3F4F6" w:color="auto" w:val="clear"/>
        <w:spacing w:after="0" w:line="240"/>
        <w:ind w:left="120" w:right="120"/>
      </w:pPr>
      <w:r>
        <w:rPr>
          <w:rFonts w:ascii="Courier New" w:cs="Courier New" w:eastAsia="Courier New" w:hAnsi="Courier New"/>
          <w:sz w:val="18"/>
          <w:szCs w:val="18"/>
        </w:rPr>
        <w:t xml:space="preserve"> </w:t>
      </w:r>
    </w:p>
    <w:p>
      <w:pPr>
        <w:keepLines/>
        <w:shd w:fill="F3F4F6" w:color="auto" w:val="clear"/>
        <w:spacing w:after="0" w:line="240"/>
        <w:ind w:left="120" w:right="120"/>
      </w:pPr>
      <w:r>
        <w:rPr>
          <w:rFonts w:ascii="Courier New" w:cs="Courier New" w:eastAsia="Courier New" w:hAnsi="Courier New"/>
          <w:sz w:val="18"/>
          <w:szCs w:val="18"/>
        </w:rPr>
        <w:t xml:space="preserve">BENIGN, MALIGNANT = "#0072B2", "#D55E00"      # colour-blind-safe pair</w:t>
      </w:r>
    </w:p>
    <w:p>
      <w:pPr>
        <w:keepLines/>
        <w:shd w:fill="F3F4F6" w:color="auto" w:val="clear"/>
        <w:spacing w:after="160" w:line="240"/>
        <w:ind w:left="120" w:right="120"/>
      </w:pPr>
      <w:r>
        <w:rPr>
          <w:rFonts w:ascii="Courier New" w:cs="Courier New" w:eastAsia="Courier New" w:hAnsi="Courier New"/>
          <w:sz w:val="18"/>
          <w:szCs w:val="18"/>
        </w:rPr>
        <w:t xml:space="preserve">print(df.shape, df.isna().sum().sum(), df.duplicated().sum())</w:t>
      </w:r>
    </w:p>
    <w:p>
      <w:pPr>
        <w:spacing w:after="120" w:line="276"/>
      </w:pPr>
      <w:r>
        <w:rPr>
          <w:rFonts w:ascii="Calibri" w:cs="Calibri" w:eastAsia="Calibri" w:hAnsi="Calibri"/>
          <w:sz w:val="22"/>
          <w:szCs w:val="22"/>
        </w:rPr>
        <w:t xml:space="preserve">The class split is 357 benign samples (62.7%) and 212 malignant samples (37.3%), which is balanced enough to compare the two groups fairly.</w:t>
      </w:r>
    </w:p>
    <w:p>
      <w:pPr>
        <w:pStyle w:val="Heading1"/>
      </w:pPr>
      <w:r>
        <w:rPr>
          <w:rFonts w:ascii="Calibri" w:cs="Calibri" w:eastAsia="Calibri" w:hAnsi="Calibri"/>
        </w:rPr>
        <w:t xml:space="preserve">3. Methods: Designing the Story</w:t>
      </w:r>
    </w:p>
    <w:p>
      <w:pPr>
        <w:pStyle w:val="Heading2"/>
      </w:pPr>
      <w:r>
        <w:rPr>
          <w:rFonts w:ascii="Calibri" w:cs="Calibri" w:eastAsia="Calibri" w:hAnsi="Calibri"/>
        </w:rPr>
        <w:t xml:space="preserve">3.1 Audience and storyline</w:t>
      </w:r>
    </w:p>
    <w:p>
      <w:pPr>
        <w:spacing w:after="120" w:line="276"/>
      </w:pPr>
      <w:r>
        <w:rPr>
          <w:rFonts w:ascii="Calibri" w:cs="Calibri" w:eastAsia="Calibri" w:hAnsi="Calibri"/>
          <w:sz w:val="22"/>
          <w:szCs w:val="22"/>
        </w:rPr>
        <w:t xml:space="preserve">The reader is not a data scientist, so every design decision starts from one question: what does this person need to understand, and what could confuse them? The storyline follows a simple arc: who is in the data, how the groups differ, which clues matter most, which clues are redundant, how well a few clues work together, how risk grows, and what the whole dataset looks like at once. Each chart answers one question and hands over to the next.</w:t>
      </w:r>
    </w:p>
    <w:p>
      <w:pPr>
        <w:pStyle w:val="Heading2"/>
      </w:pPr>
      <w:r>
        <w:rPr>
          <w:rFonts w:ascii="Calibri" w:cs="Calibri" w:eastAsia="Calibri" w:hAnsi="Calibri"/>
        </w:rPr>
        <w:t xml:space="preserve">3.2 Design principles applied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Principle</w:t>
            </w:r>
          </w:p>
        </w:tc>
        <w:tc>
          <w:tcPr>
            <w:tcW w:type="dxa" w:w="65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How it was applied</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Title states the takeaway</w:t>
            </w:r>
          </w:p>
        </w:tc>
        <w:tc>
          <w:tcPr>
            <w:tcW w:type="dxa" w:w="65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Every chart title is a finding (for example, "The most extreme cells are the best clues"), not a label such as "Feature ranking". A reader who only reads titles still gets the story.</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Plain English</w:t>
            </w:r>
          </w:p>
        </w:tc>
        <w:tc>
          <w:tcPr>
            <w:tcW w:type="dxa" w:w="65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Technical terms are translated: "concave points" appears as "dents in outline" and the ROC area as a "separation score" with an explanation of what 0.5 and 1.0 mean.</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Colour with meaning</w:t>
            </w:r>
          </w:p>
        </w:tc>
        <w:tc>
          <w:tcPr>
            <w:tcW w:type="dxa" w:w="65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Blue always means benign and orange always means malignant. The pair is colour-blind safe (Okabe-Ito palette). Charts that are not about diagnosis use neutral blues and greys so the two colours are not diluted.</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Direct labelling</w:t>
            </w:r>
          </w:p>
        </w:tc>
        <w:tc>
          <w:tcPr>
            <w:tcW w:type="dxa" w:w="65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Values, medians and zone sizes are written on the chart instead of leaving the reader to look them up in a legend or axis.</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Guide the eye</w:t>
            </w:r>
          </w:p>
        </w:tc>
        <w:tc>
          <w:tcPr>
            <w:tcW w:type="dxa" w:w="65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Shaded zones, a dashed box and arrows point to the part of the chart that matters.</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Honest scales</w:t>
            </w:r>
          </w:p>
        </w:tc>
        <w:tc>
          <w:tcPr>
            <w:tcW w:type="dxa" w:w="65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Bars that show a rate start at zero (Figure 6). The ranking chart starts at 0.5, which is the no-skill value, and says so on the axis. Sample sizes are printed under the bars.</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Context and caveats</w:t>
            </w:r>
          </w:p>
        </w:tc>
        <w:tc>
          <w:tcPr>
            <w:tcW w:type="dxa" w:w="65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Each chart carries its data source. Figure 5 states that its thresholds are illustrative and not a validated rule.</w:t>
            </w:r>
          </w:p>
        </w:tc>
      </w:tr>
    </w:tbl>
    <w:p>
      <w:pPr>
        <w:spacing w:after="120"/>
      </w:pPr>
    </w:p>
    <w:p>
      <w:pPr>
        <w:pStyle w:val="Heading2"/>
      </w:pPr>
      <w:r>
        <w:rPr>
          <w:rFonts w:ascii="Calibri" w:cs="Calibri" w:eastAsia="Calibri" w:hAnsi="Calibri"/>
        </w:rPr>
        <w:t xml:space="preserve">3.3 Choosing the chart type</w:t>
      </w:r>
    </w:p>
    <w:p>
      <w:pPr>
        <w:spacing w:after="120" w:line="276"/>
      </w:pPr>
      <w:r>
        <w:rPr>
          <w:rFonts w:ascii="Calibri" w:cs="Calibri" w:eastAsia="Calibri" w:hAnsi="Calibri"/>
          <w:sz w:val="22"/>
          <w:szCs w:val="22"/>
        </w:rPr>
        <w:t xml:space="preserve">For each question the chart type was chosen for how well it answers it for a general reader. The table shows the choice and the main alternative that was considered and set aside.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2800"/>
        <w:gridCol w:w="2326"/>
      </w:tblGrid>
      <w:tr>
        <w:trPr>
          <w:tblHeader/>
        </w:trPr>
        <w:tc>
          <w:tcPr>
            <w:tcW w:type="dxa" w:w="1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Question</w:t>
            </w:r>
          </w:p>
        </w:tc>
        <w:tc>
          <w:tcPr>
            <w:tcW w:type="dxa" w:w="22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Chart used</w:t>
            </w:r>
          </w:p>
        </w:tc>
        <w:tc>
          <w:tcPr>
            <w:tcW w:type="dxa" w:w="28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Why it fits</w:t>
            </w:r>
          </w:p>
        </w:tc>
        <w:tc>
          <w:tcPr>
            <w:tcW w:type="dxa" w:w="23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Alternative set aside</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Fig. 1: Who is in the data?</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Single stacked bar</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Part-to-whole of two groups is read at a glance with counts inside</w:t>
            </w:r>
          </w:p>
        </w:tc>
        <w:tc>
          <w:tcPr>
            <w:tcW w:type="dxa" w:w="23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Pie or donut: angles are harder to compare</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Fig. 2: How do groups differ?</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Violin plots with quartiles</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Shows the full shape and the overlap, not just the average</w:t>
            </w:r>
          </w:p>
        </w:tc>
        <w:tc>
          <w:tcPr>
            <w:tcW w:type="dxa" w:w="23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Box plots hide the shape; overlaid histograms get cluttered</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Fig. 3: Which clues matter?</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Sorted horizontal bars</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Long names stay readable and the order is the ranking</w:t>
            </w:r>
          </w:p>
        </w:tc>
        <w:tc>
          <w:tcPr>
            <w:tcW w:type="dxa" w:w="23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Vertical bars need rotated labels</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Fig. 4: What repeats?</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Lower-triangle heatmap</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45 relationships in one compact picture</w:t>
            </w:r>
          </w:p>
        </w:tc>
        <w:tc>
          <w:tcPr>
            <w:tcW w:type="dxa" w:w="23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A scatter matrix of 10 variables has 100 small panels</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Fig. 5: How well do two clues work?</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Scatter with shaded zones</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Shows overlap and where a simple rule is safe</w:t>
            </w:r>
          </w:p>
        </w:tc>
        <w:tc>
          <w:tcPr>
            <w:tcW w:type="dxa" w:w="23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A table of thresholds is less intuitive</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Fig. 6: How does risk grow?</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Bars by size band, counts shown</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Rates by ordered groups, honest zero baseline</w:t>
            </w:r>
          </w:p>
        </w:tc>
        <w:tc>
          <w:tcPr>
            <w:tcW w:type="dxa" w:w="23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A line chart would imply a smooth trend between unequal bands</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Fig. 7: The big picture</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PCA scatter with ovals</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Summarises 30 measurements on one page</w:t>
            </w:r>
          </w:p>
        </w:tc>
        <w:tc>
          <w:tcPr>
            <w:tcW w:type="dxa" w:w="23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A 3D plot is harder to read on paper</w:t>
            </w:r>
          </w:p>
        </w:tc>
      </w:tr>
    </w:tbl>
    <w:p>
      <w:pPr>
        <w:spacing w:after="120"/>
      </w:pPr>
    </w:p>
    <w:p>
      <w:pPr>
        <w:pStyle w:val="Heading2"/>
      </w:pPr>
      <w:r>
        <w:rPr>
          <w:rFonts w:ascii="Calibri" w:cs="Calibri" w:eastAsia="Calibri" w:hAnsi="Calibri"/>
        </w:rPr>
        <w:t xml:space="preserve">3.4 Tools and reproducibility</w:t>
      </w:r>
    </w:p>
    <w:p>
      <w:pPr>
        <w:spacing w:after="120" w:line="276"/>
      </w:pPr>
      <w:r>
        <w:rPr>
          <w:rFonts w:ascii="Calibri" w:cs="Calibri" w:eastAsia="Calibri" w:hAnsi="Calibri"/>
          <w:sz w:val="22"/>
          <w:szCs w:val="22"/>
        </w:rPr>
        <w:t xml:space="preserve">All work is in one Python script (week2_storytelling.py). It loads the data, runs the checks, creates the seven figures with Matplotlib and Seaborn, and writes every number quoted in this report to a text file (reports/key_numbers.txt). Pandas handles the data, scikit-learn provides the separation scores, the PCA and the cross-validation. Because the dataset ships with scikit-learn, the script runs offline and gives the same results every time (random seeds are fixed).</w:t>
      </w:r>
    </w:p>
    <w:p>
      <w:pPr>
        <w:spacing w:after="120" w:line="276"/>
      </w:pPr>
      <w:r>
        <w:rPr>
          <w:rFonts w:ascii="Calibri" w:cs="Calibri" w:eastAsia="Calibri" w:hAnsi="Calibri"/>
          <w:sz w:val="22"/>
          <w:szCs w:val="22"/>
        </w:rPr>
        <w:t xml:space="preserve">The sections below show the key code for each analysis next to the chart it produces.</w:t>
      </w:r>
    </w:p>
    <w:p>
      <w:pPr>
        <w:pStyle w:val="Heading1"/>
      </w:pPr>
      <w:r>
        <w:rPr>
          <w:rFonts w:ascii="Calibri" w:cs="Calibri" w:eastAsia="Calibri" w:hAnsi="Calibri"/>
        </w:rPr>
        <w:t xml:space="preserve">4. The Data Story: Visual Analysis</w:t>
      </w:r>
    </w:p>
    <w:p>
      <w:pPr>
        <w:pStyle w:val="Heading2"/>
      </w:pPr>
      <w:r>
        <w:rPr>
          <w:rFonts w:ascii="Calibri" w:cs="Calibri" w:eastAsia="Calibri" w:hAnsi="Calibri"/>
        </w:rPr>
        <w:t xml:space="preserve">4.1 Act 1: Who is in the data?</w:t>
      </w:r>
    </w:p>
    <w:p>
      <w:pPr>
        <w:keepNext/>
        <w:spacing w:after="60" w:before="120"/>
        <w:jc w:val="center"/>
      </w:pPr>
      <w:r>
        <w:drawing>
          <wp:inline distT="0" distB="0" distL="0" distR="0">
            <wp:extent cx="5524500" cy="1838325"/>
            <wp:effectExtent t="0" r="0" b="0" l="0"/>
            <wp:docPr id="1" name="fig1_class_balance.png" descr="Figure 1: Share of benign and malignant samples." title="Figure 1: Share of benign and malignant s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1838325"/>
                    </a:xfrm>
                    <a:prstGeom prst="rect">
                      <a:avLst/>
                    </a:prstGeom>
                  </pic:spPr>
                </pic:pic>
              </a:graphicData>
            </a:graphic>
          </wp:inline>
        </w:drawing>
      </w:r>
    </w:p>
    <w:p>
      <w:pPr>
        <w:keepNext/>
        <w:spacing w:after="160"/>
        <w:jc w:val="center"/>
      </w:pPr>
      <w:r>
        <w:rPr>
          <w:rFonts w:ascii="Calibri" w:cs="Calibri" w:eastAsia="Calibri" w:hAnsi="Calibri"/>
          <w:i/>
          <w:iCs/>
          <w:color w:val="404040"/>
          <w:sz w:val="20"/>
          <w:szCs w:val="20"/>
        </w:rPr>
        <w:t xml:space="preserve">Figure 1: Share of benign and malignant samples.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cantSplit/>
        </w:trPr>
        <w:tc>
          <w:tcPr>
            <w:tcW w:type="dxa" w:w="2100"/>
            <w:tcBorders>
              <w:top w:val="single" w:color="BFBFBF" w:sz="4"/>
              <w:left w:val="single" w:color="BFBFBF" w:sz="4"/>
              <w:bottom w:val="single" w:color="BFBFBF" w:sz="4"/>
              <w:right w:val="single" w:color="BFBFBF" w:sz="4"/>
            </w:tcBorders>
            <w:shd w:fill="E8EEF7" w:color="auto" w:val="clear"/>
            <w:tcMar>
              <w:top w:type="dxa" w:w="70"/>
              <w:left w:type="dxa" w:w="110"/>
              <w:bottom w:type="dxa" w:w="70"/>
              <w:right w:type="dxa" w:w="110"/>
            </w:tcMar>
          </w:tcPr>
          <w:p>
            <w:r>
              <w:rPr>
                <w:rFonts w:ascii="Calibri" w:cs="Calibri" w:eastAsia="Calibri" w:hAnsi="Calibri"/>
                <w:b/>
                <w:bCs/>
                <w:color w:val="1F3864"/>
                <w:sz w:val="20"/>
                <w:szCs w:val="20"/>
              </w:rPr>
              <w:t xml:space="preserve">What it shows</w:t>
            </w:r>
          </w:p>
        </w:tc>
        <w:tc>
          <w:tcPr>
            <w:tcW w:type="dxa" w:w="69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357 benign samples (62.7%) and 212 malignant samples (37.3%) out of 569.</w:t>
            </w:r>
          </w:p>
        </w:tc>
      </w:tr>
      <w:tr>
        <w:trPr>
          <w:cantSplit/>
        </w:trPr>
        <w:tc>
          <w:tcPr>
            <w:tcW w:type="dxa" w:w="2100"/>
            <w:tcBorders>
              <w:top w:val="single" w:color="BFBFBF" w:sz="4"/>
              <w:left w:val="single" w:color="BFBFBF" w:sz="4"/>
              <w:bottom w:val="single" w:color="BFBFBF" w:sz="4"/>
              <w:right w:val="single" w:color="BFBFBF" w:sz="4"/>
            </w:tcBorders>
            <w:shd w:fill="E8EEF7" w:color="auto" w:val="clear"/>
            <w:tcMar>
              <w:top w:type="dxa" w:w="70"/>
              <w:left w:type="dxa" w:w="110"/>
              <w:bottom w:type="dxa" w:w="70"/>
              <w:right w:type="dxa" w:w="110"/>
            </w:tcMar>
          </w:tcPr>
          <w:p>
            <w:r>
              <w:rPr>
                <w:rFonts w:ascii="Calibri" w:cs="Calibri" w:eastAsia="Calibri" w:hAnsi="Calibri"/>
                <w:b/>
                <w:bCs/>
                <w:color w:val="1F3864"/>
                <w:sz w:val="20"/>
                <w:szCs w:val="20"/>
              </w:rPr>
              <w:t xml:space="preserve">Why this chart</w:t>
            </w:r>
          </w:p>
        </w:tc>
        <w:tc>
          <w:tcPr>
            <w:tcW w:type="dxa" w:w="69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A single stacked bar lets the reader compare the two groups instantly, with the counts written directly inside.</w:t>
            </w:r>
          </w:p>
        </w:tc>
      </w:tr>
      <w:tr>
        <w:trPr>
          <w:cantSplit/>
        </w:trPr>
        <w:tc>
          <w:tcPr>
            <w:tcW w:type="dxa" w:w="2100"/>
            <w:tcBorders>
              <w:top w:val="single" w:color="BFBFBF" w:sz="4"/>
              <w:left w:val="single" w:color="BFBFBF" w:sz="4"/>
              <w:bottom w:val="single" w:color="BFBFBF" w:sz="4"/>
              <w:right w:val="single" w:color="BFBFBF" w:sz="4"/>
            </w:tcBorders>
            <w:shd w:fill="E8EEF7" w:color="auto" w:val="clear"/>
            <w:tcMar>
              <w:top w:type="dxa" w:w="70"/>
              <w:left w:type="dxa" w:w="110"/>
              <w:bottom w:type="dxa" w:w="70"/>
              <w:right w:type="dxa" w:w="110"/>
            </w:tcMar>
          </w:tcPr>
          <w:p>
            <w:r>
              <w:rPr>
                <w:rFonts w:ascii="Calibri" w:cs="Calibri" w:eastAsia="Calibri" w:hAnsi="Calibri"/>
                <w:b/>
                <w:bCs/>
                <w:color w:val="1F3864"/>
                <w:sz w:val="20"/>
                <w:szCs w:val="20"/>
              </w:rPr>
              <w:t xml:space="preserve">Role in the story</w:t>
            </w:r>
          </w:p>
        </w:tc>
        <w:tc>
          <w:tcPr>
            <w:tcW w:type="dxa" w:w="69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It sets the scene and prevents a misunderstanding. The malignant share here is far higher than in real screening, where most people do not have cancer. The percentages describe this dataset and must not be read as the chance that a patient has cancer.</w:t>
            </w:r>
          </w:p>
        </w:tc>
      </w:tr>
    </w:tbl>
    <w:p>
      <w:pPr>
        <w:spacing w:after="120"/>
      </w:pPr>
    </w:p>
    <w:p>
      <w:pPr>
        <w:spacing w:after="120" w:line="276"/>
      </w:pPr>
      <w:r>
        <w:rPr>
          <w:rFonts w:ascii="Calibri" w:cs="Calibri" w:eastAsia="Calibri" w:hAnsi="Calibri"/>
          <w:b/>
          <w:bCs/>
          <w:sz w:val="22"/>
          <w:szCs w:val="22"/>
        </w:rPr>
        <w:t xml:space="preserve">Takeaway: </w:t>
      </w:r>
      <w:r>
        <w:rPr>
          <w:rFonts w:ascii="Calibri" w:cs="Calibri" w:eastAsia="Calibri" w:hAnsi="Calibri"/>
          <w:sz w:val="22"/>
          <w:szCs w:val="22"/>
        </w:rPr>
        <w:t xml:space="preserve">there are enough samples of each kind to compare them fairly, but the proportions belong to the dataset, not to the real world.</w:t>
      </w:r>
    </w:p>
    <w:p>
      <w:pPr>
        <w:pStyle w:val="Heading2"/>
      </w:pPr>
      <w:r>
        <w:rPr>
          <w:rFonts w:ascii="Calibri" w:cs="Calibri" w:eastAsia="Calibri" w:hAnsi="Calibri"/>
        </w:rPr>
        <w:t xml:space="preserve">4.2 Act 2: How do the two groups differ?</w:t>
      </w:r>
    </w:p>
    <w:p>
      <w:pPr>
        <w:keepNext/>
        <w:spacing w:after="60" w:before="120"/>
        <w:jc w:val="center"/>
      </w:pPr>
      <w:r>
        <w:drawing>
          <wp:inline distT="0" distB="0" distL="0" distR="0">
            <wp:extent cx="5619750" cy="2628900"/>
            <wp:effectExtent t="0" r="0" b="0" l="0"/>
            <wp:docPr id="1" name="fig2_distributions.png" descr="Figure 2: Distribution of four key measurements for benign and malignant samples." title="Figure 2: Distribution of four key measurements for benign and malignant s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2628900"/>
                    </a:xfrm>
                    <a:prstGeom prst="rect">
                      <a:avLst/>
                    </a:prstGeom>
                  </pic:spPr>
                </pic:pic>
              </a:graphicData>
            </a:graphic>
          </wp:inline>
        </w:drawing>
      </w:r>
    </w:p>
    <w:p>
      <w:pPr>
        <w:keepNext/>
        <w:spacing w:after="160"/>
        <w:jc w:val="center"/>
      </w:pPr>
      <w:r>
        <w:rPr>
          <w:rFonts w:ascii="Calibri" w:cs="Calibri" w:eastAsia="Calibri" w:hAnsi="Calibri"/>
          <w:i/>
          <w:iCs/>
          <w:color w:val="404040"/>
          <w:sz w:val="20"/>
          <w:szCs w:val="20"/>
        </w:rPr>
        <w:t xml:space="preserve">Figure 2: Distribution of four key measurements for benign and malignant samples.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cantSplit/>
        </w:trPr>
        <w:tc>
          <w:tcPr>
            <w:tcW w:type="dxa" w:w="2100"/>
            <w:tcBorders>
              <w:top w:val="single" w:color="BFBFBF" w:sz="4"/>
              <w:left w:val="single" w:color="BFBFBF" w:sz="4"/>
              <w:bottom w:val="single" w:color="BFBFBF" w:sz="4"/>
              <w:right w:val="single" w:color="BFBFBF" w:sz="4"/>
            </w:tcBorders>
            <w:shd w:fill="E8EEF7" w:color="auto" w:val="clear"/>
            <w:tcMar>
              <w:top w:type="dxa" w:w="70"/>
              <w:left w:type="dxa" w:w="110"/>
              <w:bottom w:type="dxa" w:w="70"/>
              <w:right w:type="dxa" w:w="110"/>
            </w:tcMar>
          </w:tcPr>
          <w:p>
            <w:r>
              <w:rPr>
                <w:rFonts w:ascii="Calibri" w:cs="Calibri" w:eastAsia="Calibri" w:hAnsi="Calibri"/>
                <w:b/>
                <w:bCs/>
                <w:color w:val="1F3864"/>
                <w:sz w:val="20"/>
                <w:szCs w:val="20"/>
              </w:rPr>
              <w:t xml:space="preserve">What it shows</w:t>
            </w:r>
          </w:p>
        </w:tc>
        <w:tc>
          <w:tcPr>
            <w:tcW w:type="dxa" w:w="69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How size, roughness, area and the dents in the outline are spread within each group. The widest part of a shape is where most samples lie, and the three lines inside mark the lower quartile, the median and the upper quartile.</w:t>
            </w:r>
          </w:p>
        </w:tc>
      </w:tr>
      <w:tr>
        <w:trPr>
          <w:cantSplit/>
        </w:trPr>
        <w:tc>
          <w:tcPr>
            <w:tcW w:type="dxa" w:w="2100"/>
            <w:tcBorders>
              <w:top w:val="single" w:color="BFBFBF" w:sz="4"/>
              <w:left w:val="single" w:color="BFBFBF" w:sz="4"/>
              <w:bottom w:val="single" w:color="BFBFBF" w:sz="4"/>
              <w:right w:val="single" w:color="BFBFBF" w:sz="4"/>
            </w:tcBorders>
            <w:shd w:fill="E8EEF7" w:color="auto" w:val="clear"/>
            <w:tcMar>
              <w:top w:type="dxa" w:w="70"/>
              <w:left w:type="dxa" w:w="110"/>
              <w:bottom w:type="dxa" w:w="70"/>
              <w:right w:type="dxa" w:w="110"/>
            </w:tcMar>
          </w:tcPr>
          <w:p>
            <w:r>
              <w:rPr>
                <w:rFonts w:ascii="Calibri" w:cs="Calibri" w:eastAsia="Calibri" w:hAnsi="Calibri"/>
                <w:b/>
                <w:bCs/>
                <w:color w:val="1F3864"/>
                <w:sz w:val="20"/>
                <w:szCs w:val="20"/>
              </w:rPr>
              <w:t xml:space="preserve">Why this chart</w:t>
            </w:r>
          </w:p>
        </w:tc>
        <w:tc>
          <w:tcPr>
            <w:tcW w:type="dxa" w:w="69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Violin plots show the whole distribution, so the reader can see both the difference and the overlap. An average alone would hide how many samples sit in the shared range.</w:t>
            </w:r>
          </w:p>
        </w:tc>
      </w:tr>
      <w:tr>
        <w:trPr>
          <w:cantSplit/>
        </w:trPr>
        <w:tc>
          <w:tcPr>
            <w:tcW w:type="dxa" w:w="2100"/>
            <w:tcBorders>
              <w:top w:val="single" w:color="BFBFBF" w:sz="4"/>
              <w:left w:val="single" w:color="BFBFBF" w:sz="4"/>
              <w:bottom w:val="single" w:color="BFBFBF" w:sz="4"/>
              <w:right w:val="single" w:color="BFBFBF" w:sz="4"/>
            </w:tcBorders>
            <w:shd w:fill="E8EEF7" w:color="auto" w:val="clear"/>
            <w:tcMar>
              <w:top w:type="dxa" w:w="70"/>
              <w:left w:type="dxa" w:w="110"/>
              <w:bottom w:type="dxa" w:w="70"/>
              <w:right w:type="dxa" w:w="110"/>
            </w:tcMar>
          </w:tcPr>
          <w:p>
            <w:r>
              <w:rPr>
                <w:rFonts w:ascii="Calibri" w:cs="Calibri" w:eastAsia="Calibri" w:hAnsi="Calibri"/>
                <w:b/>
                <w:bCs/>
                <w:color w:val="1F3864"/>
                <w:sz w:val="20"/>
                <w:szCs w:val="20"/>
              </w:rPr>
              <w:t xml:space="preserve">Role in the story</w:t>
            </w:r>
          </w:p>
        </w:tc>
        <w:tc>
          <w:tcPr>
            <w:tcW w:type="dxa" w:w="69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It proves that the groups really differ, and shows that not every measurement is equally useful: texture overlaps far more than the others.</w:t>
            </w:r>
          </w:p>
        </w:tc>
      </w:tr>
    </w:tbl>
    <w:p>
      <w:pPr>
        <w:spacing w:after="120"/>
      </w:pPr>
    </w:p>
    <w:p>
      <w:pPr>
        <w:spacing w:after="120" w:line="276"/>
      </w:pPr>
      <w:r>
        <w:rPr>
          <w:rFonts w:ascii="Calibri" w:cs="Calibri" w:eastAsia="Calibri" w:hAnsi="Calibri"/>
          <w:b/>
          <w:bCs/>
          <w:sz w:val="22"/>
          <w:szCs w:val="22"/>
        </w:rPr>
        <w:t xml:space="preserve">Takeaway: </w:t>
      </w:r>
      <w:r>
        <w:rPr>
          <w:rFonts w:ascii="Calibri" w:cs="Calibri" w:eastAsia="Calibri" w:hAnsi="Calibri"/>
          <w:sz w:val="22"/>
          <w:szCs w:val="22"/>
        </w:rPr>
        <w:t xml:space="preserve">the median average radius is 17.3 for malignant samples against 12.2 for benign ones (42% larger), the median area is roughly double (932 compared with 458), and the median concave points value is nearly four times higher (0.086 against 0.023). Roughness differs by a much smaller step (21.5 against 17.4) with a large shared range.</w:t>
      </w:r>
    </w:p>
    <w:p>
      <w:pPr>
        <w:pStyle w:val="Heading2"/>
      </w:pPr>
      <w:r>
        <w:rPr>
          <w:rFonts w:ascii="Calibri" w:cs="Calibri" w:eastAsia="Calibri" w:hAnsi="Calibri"/>
        </w:rPr>
        <w:t xml:space="preserve">4.3 Act 3: Which measurements are the best clues?</w:t>
      </w:r>
    </w:p>
    <w:p>
      <w:pPr>
        <w:keepNext/>
        <w:spacing w:after="60" w:before="120"/>
        <w:jc w:val="center"/>
      </w:pPr>
      <w:r>
        <w:drawing>
          <wp:inline distT="0" distB="0" distL="0" distR="0">
            <wp:extent cx="5143500" cy="3228975"/>
            <wp:effectExtent t="0" r="0" b="0" l="0"/>
            <wp:docPr id="1" name="fig3_feature_ranking.png" descr="Figure 3: The 12 strongest single measurements, ranked by separation score." title="Figure 3: The 12 strongest single measurements, ranked by separation 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228975"/>
                    </a:xfrm>
                    <a:prstGeom prst="rect">
                      <a:avLst/>
                    </a:prstGeom>
                  </pic:spPr>
                </pic:pic>
              </a:graphicData>
            </a:graphic>
          </wp:inline>
        </w:drawing>
      </w:r>
    </w:p>
    <w:p>
      <w:pPr>
        <w:keepNext/>
        <w:spacing w:after="160"/>
        <w:jc w:val="center"/>
      </w:pPr>
      <w:r>
        <w:rPr>
          <w:rFonts w:ascii="Calibri" w:cs="Calibri" w:eastAsia="Calibri" w:hAnsi="Calibri"/>
          <w:i/>
          <w:iCs/>
          <w:color w:val="404040"/>
          <w:sz w:val="20"/>
          <w:szCs w:val="20"/>
        </w:rPr>
        <w:t xml:space="preserve">Figure 3: The 12 strongest single measurements, ranked by separation score.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cantSplit/>
        </w:trPr>
        <w:tc>
          <w:tcPr>
            <w:tcW w:type="dxa" w:w="2100"/>
            <w:tcBorders>
              <w:top w:val="single" w:color="BFBFBF" w:sz="4"/>
              <w:left w:val="single" w:color="BFBFBF" w:sz="4"/>
              <w:bottom w:val="single" w:color="BFBFBF" w:sz="4"/>
              <w:right w:val="single" w:color="BFBFBF" w:sz="4"/>
            </w:tcBorders>
            <w:shd w:fill="E8EEF7" w:color="auto" w:val="clear"/>
            <w:tcMar>
              <w:top w:type="dxa" w:w="70"/>
              <w:left w:type="dxa" w:w="110"/>
              <w:bottom w:type="dxa" w:w="70"/>
              <w:right w:type="dxa" w:w="110"/>
            </w:tcMar>
          </w:tcPr>
          <w:p>
            <w:r>
              <w:rPr>
                <w:rFonts w:ascii="Calibri" w:cs="Calibri" w:eastAsia="Calibri" w:hAnsi="Calibri"/>
                <w:b/>
                <w:bCs/>
                <w:color w:val="1F3864"/>
                <w:sz w:val="20"/>
                <w:szCs w:val="20"/>
              </w:rPr>
              <w:t xml:space="preserve">What it shows</w:t>
            </w:r>
          </w:p>
        </w:tc>
        <w:tc>
          <w:tcPr>
            <w:tcW w:type="dxa" w:w="69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For each measurement, how well it alone separates malignant from benign samples. The separation score is the chance that, if one malignant and one benign sample are picked at random, the malignant one has the higher value. A score of 0.5 is a coin toss and 1.0 is perfect.</w:t>
            </w:r>
          </w:p>
        </w:tc>
      </w:tr>
      <w:tr>
        <w:trPr>
          <w:cantSplit/>
        </w:trPr>
        <w:tc>
          <w:tcPr>
            <w:tcW w:type="dxa" w:w="2100"/>
            <w:tcBorders>
              <w:top w:val="single" w:color="BFBFBF" w:sz="4"/>
              <w:left w:val="single" w:color="BFBFBF" w:sz="4"/>
              <w:bottom w:val="single" w:color="BFBFBF" w:sz="4"/>
              <w:right w:val="single" w:color="BFBFBF" w:sz="4"/>
            </w:tcBorders>
            <w:shd w:fill="E8EEF7" w:color="auto" w:val="clear"/>
            <w:tcMar>
              <w:top w:type="dxa" w:w="70"/>
              <w:left w:type="dxa" w:w="110"/>
              <w:bottom w:type="dxa" w:w="70"/>
              <w:right w:type="dxa" w:w="110"/>
            </w:tcMar>
          </w:tcPr>
          <w:p>
            <w:r>
              <w:rPr>
                <w:rFonts w:ascii="Calibri" w:cs="Calibri" w:eastAsia="Calibri" w:hAnsi="Calibri"/>
                <w:b/>
                <w:bCs/>
                <w:color w:val="1F3864"/>
                <w:sz w:val="20"/>
                <w:szCs w:val="20"/>
              </w:rPr>
              <w:t xml:space="preserve">Why this chart</w:t>
            </w:r>
          </w:p>
        </w:tc>
        <w:tc>
          <w:tcPr>
            <w:tcW w:type="dxa" w:w="69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A sorted horizontal bar chart turns 30 measurements into a ranking. Colour tells the reader whether a bar describes the average cell, the most extreme cells, or the variation.</w:t>
            </w:r>
          </w:p>
        </w:tc>
      </w:tr>
      <w:tr>
        <w:trPr>
          <w:cantSplit/>
        </w:trPr>
        <w:tc>
          <w:tcPr>
            <w:tcW w:type="dxa" w:w="2100"/>
            <w:tcBorders>
              <w:top w:val="single" w:color="BFBFBF" w:sz="4"/>
              <w:left w:val="single" w:color="BFBFBF" w:sz="4"/>
              <w:bottom w:val="single" w:color="BFBFBF" w:sz="4"/>
              <w:right w:val="single" w:color="BFBFBF" w:sz="4"/>
            </w:tcBorders>
            <w:shd w:fill="E8EEF7" w:color="auto" w:val="clear"/>
            <w:tcMar>
              <w:top w:type="dxa" w:w="70"/>
              <w:left w:type="dxa" w:w="110"/>
              <w:bottom w:type="dxa" w:w="70"/>
              <w:right w:type="dxa" w:w="110"/>
            </w:tcMar>
          </w:tcPr>
          <w:p>
            <w:r>
              <w:rPr>
                <w:rFonts w:ascii="Calibri" w:cs="Calibri" w:eastAsia="Calibri" w:hAnsi="Calibri"/>
                <w:b/>
                <w:bCs/>
                <w:color w:val="1F3864"/>
                <w:sz w:val="20"/>
                <w:szCs w:val="20"/>
              </w:rPr>
              <w:t xml:space="preserve">Role in the story</w:t>
            </w:r>
          </w:p>
        </w:tc>
        <w:tc>
          <w:tcPr>
            <w:tcW w:type="dxa" w:w="69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It moves the reader from "the groups differ" to "which measurements should we trust".</w:t>
            </w:r>
          </w:p>
        </w:tc>
      </w:tr>
    </w:tbl>
    <w:p>
      <w:pPr>
        <w:spacing w:after="120"/>
      </w:pPr>
    </w:p>
    <w:p>
      <w:pPr>
        <w:keepLines/>
        <w:shd w:fill="F3F4F6" w:color="auto" w:val="clear"/>
        <w:spacing w:after="0" w:before="80" w:line="240"/>
        <w:ind w:left="120" w:right="120"/>
      </w:pPr>
      <w:r>
        <w:rPr>
          <w:rFonts w:ascii="Courier New" w:cs="Courier New" w:eastAsia="Courier New" w:hAnsi="Courier New"/>
          <w:sz w:val="18"/>
          <w:szCs w:val="18"/>
        </w:rPr>
        <w:t xml:space="preserve">from sklearn.metrics import roc_auc_score</w:t>
      </w:r>
    </w:p>
    <w:p>
      <w:pPr>
        <w:keepLines/>
        <w:shd w:fill="F3F4F6" w:color="auto" w:val="clear"/>
        <w:spacing w:after="0" w:line="240"/>
        <w:ind w:left="120" w:right="120"/>
      </w:pPr>
      <w:r>
        <w:rPr>
          <w:rFonts w:ascii="Courier New" w:cs="Courier New" w:eastAsia="Courier New" w:hAnsi="Courier New"/>
          <w:sz w:val="18"/>
          <w:szCs w:val="18"/>
        </w:rPr>
        <w:t xml:space="preserve"> </w:t>
      </w:r>
    </w:p>
    <w:p>
      <w:pPr>
        <w:keepLines/>
        <w:shd w:fill="F3F4F6" w:color="auto" w:val="clear"/>
        <w:spacing w:after="0" w:line="240"/>
        <w:ind w:left="120" w:right="120"/>
      </w:pPr>
      <w:r>
        <w:rPr>
          <w:rFonts w:ascii="Courier New" w:cs="Courier New" w:eastAsia="Courier New" w:hAnsi="Courier New"/>
          <w:sz w:val="18"/>
          <w:szCs w:val="18"/>
        </w:rPr>
        <w:t xml:space="preserve">auc = {f: roc_auc_score(df["is_malignant"], df[f]) for f in features}</w:t>
      </w:r>
    </w:p>
    <w:p>
      <w:pPr>
        <w:keepLines/>
        <w:shd w:fill="F3F4F6" w:color="auto" w:val="clear"/>
        <w:spacing w:after="0" w:line="240"/>
        <w:ind w:left="120" w:right="120"/>
      </w:pPr>
      <w:r>
        <w:rPr>
          <w:rFonts w:ascii="Courier New" w:cs="Courier New" w:eastAsia="Courier New" w:hAnsi="Courier New"/>
          <w:sz w:val="18"/>
          <w:szCs w:val="18"/>
        </w:rPr>
        <w:t xml:space="preserve">sep = pd.Series({f: max(a, 1 - a) for f, a in auc.items()}).sort_values(ascending=False)</w:t>
      </w:r>
    </w:p>
    <w:p>
      <w:pPr>
        <w:keepLines/>
        <w:shd w:fill="F3F4F6" w:color="auto" w:val="clear"/>
        <w:spacing w:after="160" w:line="240"/>
        <w:ind w:left="120" w:right="120"/>
      </w:pPr>
      <w:r>
        <w:rPr>
          <w:rFonts w:ascii="Courier New" w:cs="Courier New" w:eastAsia="Courier New" w:hAnsi="Courier New"/>
          <w:sz w:val="18"/>
          <w:szCs w:val="18"/>
        </w:rPr>
        <w:t xml:space="preserve">print(sep.head(12))</w:t>
      </w:r>
    </w:p>
    <w:p>
      <w:pPr>
        <w:spacing w:after="120" w:line="276"/>
      </w:pPr>
      <w:r>
        <w:rPr>
          <w:rFonts w:ascii="Calibri" w:cs="Calibri" w:eastAsia="Calibri" w:hAnsi="Calibri"/>
          <w:b/>
          <w:bCs/>
          <w:sz w:val="22"/>
          <w:szCs w:val="22"/>
        </w:rPr>
        <w:t xml:space="preserve">Takeaway: </w:t>
      </w:r>
      <w:r>
        <w:rPr>
          <w:rFonts w:ascii="Calibri" w:cs="Calibri" w:eastAsia="Calibri" w:hAnsi="Calibri"/>
          <w:sz w:val="22"/>
          <w:szCs w:val="22"/>
        </w:rPr>
        <w:t xml:space="preserve">four of the five strongest clues are "worst" values: worst perimeter (0.975), worst radius (0.970), worst area (0.970) and worst concave points (0.967). The fifth is mean concave points (0.964). Average roughness scores only 0.776, and the weakest measurement, texture error, scores 0.512, which is no better than a coin toss. In plain terms, a few unusually large cells in a sample tell us more than the average cell does.</w:t>
      </w:r>
    </w:p>
    <w:p>
      <w:pPr>
        <w:pStyle w:val="Heading2"/>
      </w:pPr>
      <w:r>
        <w:rPr>
          <w:rFonts w:ascii="Calibri" w:cs="Calibri" w:eastAsia="Calibri" w:hAnsi="Calibri"/>
        </w:rPr>
        <w:t xml:space="preserve">4.4 Act 4: Which clues repeat each other?</w:t>
      </w:r>
    </w:p>
    <w:p>
      <w:pPr>
        <w:keepNext/>
        <w:spacing w:after="60" w:before="120"/>
        <w:jc w:val="center"/>
      </w:pPr>
      <w:r>
        <w:drawing>
          <wp:inline distT="0" distB="0" distL="0" distR="0">
            <wp:extent cx="4476750" cy="3752850"/>
            <wp:effectExtent t="0" r="0" b="0" l="0"/>
            <wp:docPr id="1" name="fig4_correlation.png" descr="Figure 4: Correlation between the ten average measurements." title="Figure 4: Correlation between the ten average measur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3752850"/>
                    </a:xfrm>
                    <a:prstGeom prst="rect">
                      <a:avLst/>
                    </a:prstGeom>
                  </pic:spPr>
                </pic:pic>
              </a:graphicData>
            </a:graphic>
          </wp:inline>
        </w:drawing>
      </w:r>
    </w:p>
    <w:p>
      <w:pPr>
        <w:keepNext/>
        <w:spacing w:after="160"/>
        <w:jc w:val="center"/>
      </w:pPr>
      <w:r>
        <w:rPr>
          <w:rFonts w:ascii="Calibri" w:cs="Calibri" w:eastAsia="Calibri" w:hAnsi="Calibri"/>
          <w:i/>
          <w:iCs/>
          <w:color w:val="404040"/>
          <w:sz w:val="20"/>
          <w:szCs w:val="20"/>
        </w:rPr>
        <w:t xml:space="preserve">Figure 4: Correlation between the ten average measurements.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cantSplit/>
        </w:trPr>
        <w:tc>
          <w:tcPr>
            <w:tcW w:type="dxa" w:w="2100"/>
            <w:tcBorders>
              <w:top w:val="single" w:color="BFBFBF" w:sz="4"/>
              <w:left w:val="single" w:color="BFBFBF" w:sz="4"/>
              <w:bottom w:val="single" w:color="BFBFBF" w:sz="4"/>
              <w:right w:val="single" w:color="BFBFBF" w:sz="4"/>
            </w:tcBorders>
            <w:shd w:fill="E8EEF7" w:color="auto" w:val="clear"/>
            <w:tcMar>
              <w:top w:type="dxa" w:w="70"/>
              <w:left w:type="dxa" w:w="110"/>
              <w:bottom w:type="dxa" w:w="70"/>
              <w:right w:type="dxa" w:w="110"/>
            </w:tcMar>
          </w:tcPr>
          <w:p>
            <w:r>
              <w:rPr>
                <w:rFonts w:ascii="Calibri" w:cs="Calibri" w:eastAsia="Calibri" w:hAnsi="Calibri"/>
                <w:b/>
                <w:bCs/>
                <w:color w:val="1F3864"/>
                <w:sz w:val="20"/>
                <w:szCs w:val="20"/>
              </w:rPr>
              <w:t xml:space="preserve">What it shows</w:t>
            </w:r>
          </w:p>
        </w:tc>
        <w:tc>
          <w:tcPr>
            <w:tcW w:type="dxa" w:w="69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How strongly each pair of average measurements moves together. Dark red means they rise and fall almost in step, white means no link.</w:t>
            </w:r>
          </w:p>
        </w:tc>
      </w:tr>
      <w:tr>
        <w:trPr>
          <w:cantSplit/>
        </w:trPr>
        <w:tc>
          <w:tcPr>
            <w:tcW w:type="dxa" w:w="2100"/>
            <w:tcBorders>
              <w:top w:val="single" w:color="BFBFBF" w:sz="4"/>
              <w:left w:val="single" w:color="BFBFBF" w:sz="4"/>
              <w:bottom w:val="single" w:color="BFBFBF" w:sz="4"/>
              <w:right w:val="single" w:color="BFBFBF" w:sz="4"/>
            </w:tcBorders>
            <w:shd w:fill="E8EEF7" w:color="auto" w:val="clear"/>
            <w:tcMar>
              <w:top w:type="dxa" w:w="70"/>
              <w:left w:type="dxa" w:w="110"/>
              <w:bottom w:type="dxa" w:w="70"/>
              <w:right w:type="dxa" w:w="110"/>
            </w:tcMar>
          </w:tcPr>
          <w:p>
            <w:r>
              <w:rPr>
                <w:rFonts w:ascii="Calibri" w:cs="Calibri" w:eastAsia="Calibri" w:hAnsi="Calibri"/>
                <w:b/>
                <w:bCs/>
                <w:color w:val="1F3864"/>
                <w:sz w:val="20"/>
                <w:szCs w:val="20"/>
              </w:rPr>
              <w:t xml:space="preserve">Why this chart</w:t>
            </w:r>
          </w:p>
        </w:tc>
        <w:tc>
          <w:tcPr>
            <w:tcW w:type="dxa" w:w="69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A heatmap fits 45 relationships into one picture, and the numbers written in each cell remove any guesswork. Only the lower triangle is shown because the upper half would repeat the same values.</w:t>
            </w:r>
          </w:p>
        </w:tc>
      </w:tr>
      <w:tr>
        <w:trPr>
          <w:cantSplit/>
        </w:trPr>
        <w:tc>
          <w:tcPr>
            <w:tcW w:type="dxa" w:w="2100"/>
            <w:tcBorders>
              <w:top w:val="single" w:color="BFBFBF" w:sz="4"/>
              <w:left w:val="single" w:color="BFBFBF" w:sz="4"/>
              <w:bottom w:val="single" w:color="BFBFBF" w:sz="4"/>
              <w:right w:val="single" w:color="BFBFBF" w:sz="4"/>
            </w:tcBorders>
            <w:shd w:fill="E8EEF7" w:color="auto" w:val="clear"/>
            <w:tcMar>
              <w:top w:type="dxa" w:w="70"/>
              <w:left w:type="dxa" w:w="110"/>
              <w:bottom w:type="dxa" w:w="70"/>
              <w:right w:type="dxa" w:w="110"/>
            </w:tcMar>
          </w:tcPr>
          <w:p>
            <w:r>
              <w:rPr>
                <w:rFonts w:ascii="Calibri" w:cs="Calibri" w:eastAsia="Calibri" w:hAnsi="Calibri"/>
                <w:b/>
                <w:bCs/>
                <w:color w:val="1F3864"/>
                <w:sz w:val="20"/>
                <w:szCs w:val="20"/>
              </w:rPr>
              <w:t xml:space="preserve">Role in the story</w:t>
            </w:r>
          </w:p>
        </w:tc>
        <w:tc>
          <w:tcPr>
            <w:tcW w:type="dxa" w:w="69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It warns the reader that more measurements do not mean more information, and explains why a short list of clues can work well.</w:t>
            </w:r>
          </w:p>
        </w:tc>
      </w:tr>
    </w:tbl>
    <w:p>
      <w:pPr>
        <w:spacing w:after="120"/>
      </w:pPr>
    </w:p>
    <w:p>
      <w:pPr>
        <w:spacing w:after="120" w:line="276"/>
      </w:pPr>
      <w:r>
        <w:rPr>
          <w:rFonts w:ascii="Calibri" w:cs="Calibri" w:eastAsia="Calibri" w:hAnsi="Calibri"/>
          <w:b/>
          <w:bCs/>
          <w:sz w:val="22"/>
          <w:szCs w:val="22"/>
        </w:rPr>
        <w:t xml:space="preserve">Takeaway: </w:t>
      </w:r>
      <w:r>
        <w:rPr>
          <w:rFonts w:ascii="Calibri" w:cs="Calibri" w:eastAsia="Calibri" w:hAnsi="Calibri"/>
          <w:sz w:val="22"/>
          <w:szCs w:val="22"/>
        </w:rPr>
        <w:t xml:space="preserve">radius, perimeter and area are near-duplicates: radius and perimeter correlate at 0.998, and radius and area at 0.987. Across all 30 measurements, 21 of 435 pairs correlate above 0.9. Roughness, by contrast, is almost unrelated to size (0.324), so it adds a genuinely different piece of information even though it is a weaker clue on its own.</w:t>
      </w:r>
    </w:p>
    <w:p>
      <w:pPr>
        <w:pStyle w:val="Heading2"/>
      </w:pPr>
      <w:r>
        <w:rPr>
          <w:rFonts w:ascii="Calibri" w:cs="Calibri" w:eastAsia="Calibri" w:hAnsi="Calibri"/>
        </w:rPr>
        <w:t xml:space="preserve">4.5 Act 5: How well do two clues work together?</w:t>
      </w:r>
    </w:p>
    <w:p>
      <w:pPr>
        <w:keepNext/>
        <w:spacing w:after="60" w:before="120"/>
        <w:jc w:val="center"/>
      </w:pPr>
      <w:r>
        <w:drawing>
          <wp:inline distT="0" distB="0" distL="0" distR="0">
            <wp:extent cx="5238750" cy="3314700"/>
            <wp:effectExtent t="0" r="0" b="0" l="0"/>
            <wp:docPr id="1" name="fig5_two_clues.png" descr="Figure 5: Worst radius against worst concave points, with zones where the diagnosis is almost certain." title="Figure 5: Worst radius against worst concave points, with zones where the diagnosis is almost cert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38750" cy="3314700"/>
                    </a:xfrm>
                    <a:prstGeom prst="rect">
                      <a:avLst/>
                    </a:prstGeom>
                  </pic:spPr>
                </pic:pic>
              </a:graphicData>
            </a:graphic>
          </wp:inline>
        </w:drawing>
      </w:r>
    </w:p>
    <w:p>
      <w:pPr>
        <w:keepNext/>
        <w:spacing w:after="160"/>
        <w:jc w:val="center"/>
      </w:pPr>
      <w:r>
        <w:rPr>
          <w:rFonts w:ascii="Calibri" w:cs="Calibri" w:eastAsia="Calibri" w:hAnsi="Calibri"/>
          <w:i/>
          <w:iCs/>
          <w:color w:val="404040"/>
          <w:sz w:val="20"/>
          <w:szCs w:val="20"/>
        </w:rPr>
        <w:t xml:space="preserve">Figure 5: Worst radius against worst concave points, with zones where the diagnosis is almost certain.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cantSplit/>
        </w:trPr>
        <w:tc>
          <w:tcPr>
            <w:tcW w:type="dxa" w:w="2100"/>
            <w:tcBorders>
              <w:top w:val="single" w:color="BFBFBF" w:sz="4"/>
              <w:left w:val="single" w:color="BFBFBF" w:sz="4"/>
              <w:bottom w:val="single" w:color="BFBFBF" w:sz="4"/>
              <w:right w:val="single" w:color="BFBFBF" w:sz="4"/>
            </w:tcBorders>
            <w:shd w:fill="E8EEF7" w:color="auto" w:val="clear"/>
            <w:tcMar>
              <w:top w:type="dxa" w:w="70"/>
              <w:left w:type="dxa" w:w="110"/>
              <w:bottom w:type="dxa" w:w="70"/>
              <w:right w:type="dxa" w:w="110"/>
            </w:tcMar>
          </w:tcPr>
          <w:p>
            <w:r>
              <w:rPr>
                <w:rFonts w:ascii="Calibri" w:cs="Calibri" w:eastAsia="Calibri" w:hAnsi="Calibri"/>
                <w:b/>
                <w:bCs/>
                <w:color w:val="1F3864"/>
                <w:sz w:val="20"/>
                <w:szCs w:val="20"/>
              </w:rPr>
              <w:t xml:space="preserve">What it shows</w:t>
            </w:r>
          </w:p>
        </w:tc>
        <w:tc>
          <w:tcPr>
            <w:tcW w:type="dxa" w:w="69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Every sample as a dot, placed by the size of its largest cells (across) and the dents in its outline (up). Blue shading marks the clear benign zone, orange shading the clear malignant zone, and the area between is the grey zone.</w:t>
            </w:r>
          </w:p>
        </w:tc>
      </w:tr>
      <w:tr>
        <w:trPr>
          <w:cantSplit/>
        </w:trPr>
        <w:tc>
          <w:tcPr>
            <w:tcW w:type="dxa" w:w="2100"/>
            <w:tcBorders>
              <w:top w:val="single" w:color="BFBFBF" w:sz="4"/>
              <w:left w:val="single" w:color="BFBFBF" w:sz="4"/>
              <w:bottom w:val="single" w:color="BFBFBF" w:sz="4"/>
              <w:right w:val="single" w:color="BFBFBF" w:sz="4"/>
            </w:tcBorders>
            <w:shd w:fill="E8EEF7" w:color="auto" w:val="clear"/>
            <w:tcMar>
              <w:top w:type="dxa" w:w="70"/>
              <w:left w:type="dxa" w:w="110"/>
              <w:bottom w:type="dxa" w:w="70"/>
              <w:right w:type="dxa" w:w="110"/>
            </w:tcMar>
          </w:tcPr>
          <w:p>
            <w:r>
              <w:rPr>
                <w:rFonts w:ascii="Calibri" w:cs="Calibri" w:eastAsia="Calibri" w:hAnsi="Calibri"/>
                <w:b/>
                <w:bCs/>
                <w:color w:val="1F3864"/>
                <w:sz w:val="20"/>
                <w:szCs w:val="20"/>
              </w:rPr>
              <w:t xml:space="preserve">Why this chart</w:t>
            </w:r>
          </w:p>
        </w:tc>
        <w:tc>
          <w:tcPr>
            <w:tcW w:type="dxa" w:w="69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A scatter plot shows the data itself, including the overlap. The shading and the labels turn it from a cloud of dots into a decision picture a manager can read.</w:t>
            </w:r>
          </w:p>
        </w:tc>
      </w:tr>
      <w:tr>
        <w:trPr>
          <w:cantSplit/>
        </w:trPr>
        <w:tc>
          <w:tcPr>
            <w:tcW w:type="dxa" w:w="2100"/>
            <w:tcBorders>
              <w:top w:val="single" w:color="BFBFBF" w:sz="4"/>
              <w:left w:val="single" w:color="BFBFBF" w:sz="4"/>
              <w:bottom w:val="single" w:color="BFBFBF" w:sz="4"/>
              <w:right w:val="single" w:color="BFBFBF" w:sz="4"/>
            </w:tcBorders>
            <w:shd w:fill="E8EEF7" w:color="auto" w:val="clear"/>
            <w:tcMar>
              <w:top w:type="dxa" w:w="70"/>
              <w:left w:type="dxa" w:w="110"/>
              <w:bottom w:type="dxa" w:w="70"/>
              <w:right w:type="dxa" w:w="110"/>
            </w:tcMar>
          </w:tcPr>
          <w:p>
            <w:r>
              <w:rPr>
                <w:rFonts w:ascii="Calibri" w:cs="Calibri" w:eastAsia="Calibri" w:hAnsi="Calibri"/>
                <w:b/>
                <w:bCs/>
                <w:color w:val="1F3864"/>
                <w:sz w:val="20"/>
                <w:szCs w:val="20"/>
              </w:rPr>
              <w:t xml:space="preserve">Role in the story</w:t>
            </w:r>
          </w:p>
        </w:tc>
        <w:tc>
          <w:tcPr>
            <w:tcW w:type="dxa" w:w="69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This is the turning point: it shows that two simple clues are already enough for most samples, and exactly where they are not.</w:t>
            </w:r>
          </w:p>
        </w:tc>
      </w:tr>
    </w:tbl>
    <w:p>
      <w:pPr>
        <w:spacing w:after="120"/>
      </w:pPr>
    </w:p>
    <w:p>
      <w:pPr>
        <w:keepLines/>
        <w:shd w:fill="F3F4F6" w:color="auto" w:val="clear"/>
        <w:spacing w:after="0" w:before="80" w:line="240"/>
        <w:ind w:left="120" w:right="120"/>
      </w:pPr>
      <w:r>
        <w:rPr>
          <w:rFonts w:ascii="Courier New" w:cs="Courier New" w:eastAsia="Courier New" w:hAnsi="Courier New"/>
          <w:sz w:val="18"/>
          <w:szCs w:val="18"/>
        </w:rPr>
        <w:t xml:space="preserve">x_lo, y_lo = 16.0, 0.11          # illustrative thresholds for the benign zone</w:t>
      </w:r>
    </w:p>
    <w:p>
      <w:pPr>
        <w:keepLines/>
        <w:shd w:fill="F3F4F6" w:color="auto" w:val="clear"/>
        <w:spacing w:after="0" w:line="240"/>
        <w:ind w:left="120" w:right="120"/>
      </w:pPr>
      <w:r>
        <w:rPr>
          <w:rFonts w:ascii="Courier New" w:cs="Courier New" w:eastAsia="Courier New" w:hAnsi="Courier New"/>
          <w:sz w:val="18"/>
          <w:szCs w:val="18"/>
        </w:rPr>
        <w:t xml:space="preserve">x_hi, y_hi = 17.5, 0.15          # illustrative thresholds for the malignant zone</w:t>
      </w:r>
    </w:p>
    <w:p>
      <w:pPr>
        <w:keepLines/>
        <w:shd w:fill="F3F4F6" w:color="auto" w:val="clear"/>
        <w:spacing w:after="0" w:line="240"/>
        <w:ind w:left="120" w:right="120"/>
      </w:pPr>
      <w:r>
        <w:rPr>
          <w:rFonts w:ascii="Courier New" w:cs="Courier New" w:eastAsia="Courier New" w:hAnsi="Courier New"/>
          <w:sz w:val="18"/>
          <w:szCs w:val="18"/>
        </w:rPr>
        <w:t xml:space="preserve"> </w:t>
      </w:r>
    </w:p>
    <w:p>
      <w:pPr>
        <w:keepLines/>
        <w:shd w:fill="F3F4F6" w:color="auto" w:val="clear"/>
        <w:spacing w:after="0" w:line="240"/>
        <w:ind w:left="120" w:right="120"/>
      </w:pPr>
      <w:r>
        <w:rPr>
          <w:rFonts w:ascii="Courier New" w:cs="Courier New" w:eastAsia="Courier New" w:hAnsi="Courier New"/>
          <w:sz w:val="18"/>
          <w:szCs w:val="18"/>
        </w:rPr>
        <w:t xml:space="preserve">benign_zone = df[(df["worst radius"] &lt; x_lo) &amp;</w:t>
      </w:r>
    </w:p>
    <w:p>
      <w:pPr>
        <w:keepLines/>
        <w:shd w:fill="F3F4F6" w:color="auto" w:val="clear"/>
        <w:spacing w:after="0" w:line="240"/>
        <w:ind w:left="120" w:right="120"/>
      </w:pPr>
      <w:r>
        <w:rPr>
          <w:rFonts w:ascii="Courier New" w:cs="Courier New" w:eastAsia="Courier New" w:hAnsi="Courier New"/>
          <w:sz w:val="18"/>
          <w:szCs w:val="18"/>
        </w:rPr>
        <w:t xml:space="preserve">                 (df["worst concave points"] &lt; y_lo)]</w:t>
      </w:r>
    </w:p>
    <w:p>
      <w:pPr>
        <w:keepLines/>
        <w:shd w:fill="F3F4F6" w:color="auto" w:val="clear"/>
        <w:spacing w:after="0" w:line="240"/>
        <w:ind w:left="120" w:right="120"/>
      </w:pPr>
      <w:r>
        <w:rPr>
          <w:rFonts w:ascii="Courier New" w:cs="Courier New" w:eastAsia="Courier New" w:hAnsi="Courier New"/>
          <w:sz w:val="18"/>
          <w:szCs w:val="18"/>
        </w:rPr>
        <w:t xml:space="preserve">malig_zone = df[(df["worst radius"] &gt; x_hi) &amp;</w:t>
      </w:r>
    </w:p>
    <w:p>
      <w:pPr>
        <w:keepLines/>
        <w:shd w:fill="F3F4F6" w:color="auto" w:val="clear"/>
        <w:spacing w:after="0" w:line="240"/>
        <w:ind w:left="120" w:right="120"/>
      </w:pPr>
      <w:r>
        <w:rPr>
          <w:rFonts w:ascii="Courier New" w:cs="Courier New" w:eastAsia="Courier New" w:hAnsi="Courier New"/>
          <w:sz w:val="18"/>
          <w:szCs w:val="18"/>
        </w:rPr>
        <w:t xml:space="preserve">                (df["worst concave points"] &gt; y_hi)]</w:t>
      </w:r>
    </w:p>
    <w:p>
      <w:pPr>
        <w:keepLines/>
        <w:shd w:fill="F3F4F6" w:color="auto" w:val="clear"/>
        <w:spacing w:after="160" w:line="240"/>
        <w:ind w:left="120" w:right="120"/>
      </w:pPr>
      <w:r>
        <w:rPr>
          <w:rFonts w:ascii="Courier New" w:cs="Courier New" w:eastAsia="Courier New" w:hAnsi="Courier New"/>
          <w:sz w:val="18"/>
          <w:szCs w:val="18"/>
        </w:rPr>
        <w:t xml:space="preserve">grey_n = len(df) - len(benign_zone) - len(malig_zone)</w:t>
      </w:r>
    </w:p>
    <w:p>
      <w:pPr>
        <w:spacing w:after="120" w:line="276"/>
      </w:pPr>
      <w:r>
        <w:rPr>
          <w:rFonts w:ascii="Calibri" w:cs="Calibri" w:eastAsia="Calibri" w:hAnsi="Calibri"/>
          <w:b/>
          <w:bCs/>
          <w:sz w:val="22"/>
          <w:szCs w:val="22"/>
        </w:rPr>
        <w:t xml:space="preserve">Takeaway: </w:t>
      </w:r>
      <w:r>
        <w:rPr>
          <w:rFonts w:ascii="Calibri" w:cs="Calibri" w:eastAsia="Calibri" w:hAnsi="Calibri"/>
          <w:sz w:val="22"/>
          <w:szCs w:val="22"/>
        </w:rPr>
        <w:t xml:space="preserve">the clear benign zone (worst radius under 16 and worst concave points under 0.11) holds 286 samples, of which 3 are malignant (1.0%). The clear malignant zone (worst radius over 17.5 and worst concave points over 0.15) holds 135 samples, all malignant. Together these zones contain 421 samples (74.0%), and 418 of them have the diagnosis the zone suggests (99.3%). The remaining 148 samples (26.0%) fall in the grey zone, where 74 are malignant and 74 benign, so these two clues cannot decide them.</w:t>
      </w:r>
    </w:p>
    <w:p>
      <w:pPr>
        <w:spacing w:after="120" w:line="276"/>
      </w:pPr>
      <w:r>
        <w:rPr>
          <w:rFonts w:ascii="Calibri" w:cs="Calibri" w:eastAsia="Calibri" w:hAnsi="Calibri"/>
          <w:b/>
          <w:bCs/>
          <w:sz w:val="22"/>
          <w:szCs w:val="22"/>
        </w:rPr>
        <w:t xml:space="preserve">Important: </w:t>
      </w:r>
      <w:r>
        <w:rPr>
          <w:rFonts w:ascii="Calibri" w:cs="Calibri" w:eastAsia="Calibri" w:hAnsi="Calibri"/>
          <w:sz w:val="22"/>
          <w:szCs w:val="22"/>
        </w:rPr>
        <w:t xml:space="preserve">the thresholds were chosen by inspecting this same dataset to make the picture easy to read. They are illustrative and have not been validated on new data.</w:t>
      </w:r>
    </w:p>
    <w:p>
      <w:pPr>
        <w:pStyle w:val="Heading2"/>
      </w:pPr>
      <w:r>
        <w:rPr>
          <w:rFonts w:ascii="Calibri" w:cs="Calibri" w:eastAsia="Calibri" w:hAnsi="Calibri"/>
        </w:rPr>
        <w:t xml:space="preserve">4.6 Act 6: How does risk grow with cell size?</w:t>
      </w:r>
    </w:p>
    <w:p>
      <w:pPr>
        <w:keepNext/>
        <w:spacing w:after="60" w:before="120"/>
        <w:jc w:val="center"/>
      </w:pPr>
      <w:r>
        <w:drawing>
          <wp:inline distT="0" distB="0" distL="0" distR="0">
            <wp:extent cx="4953000" cy="3057525"/>
            <wp:effectExtent t="0" r="0" b="0" l="0"/>
            <wp:docPr id="1" name="fig6_risk_ladder.png" descr="Figure 6: Share of malignant samples by size of the largest cells." title="Figure 6: Share of malignant samples by size of the largest ce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3057525"/>
                    </a:xfrm>
                    <a:prstGeom prst="rect">
                      <a:avLst/>
                    </a:prstGeom>
                  </pic:spPr>
                </pic:pic>
              </a:graphicData>
            </a:graphic>
          </wp:inline>
        </w:drawing>
      </w:r>
    </w:p>
    <w:p>
      <w:pPr>
        <w:keepNext/>
        <w:spacing w:after="160"/>
        <w:jc w:val="center"/>
      </w:pPr>
      <w:r>
        <w:rPr>
          <w:rFonts w:ascii="Calibri" w:cs="Calibri" w:eastAsia="Calibri" w:hAnsi="Calibri"/>
          <w:i/>
          <w:iCs/>
          <w:color w:val="404040"/>
          <w:sz w:val="20"/>
          <w:szCs w:val="20"/>
        </w:rPr>
        <w:t xml:space="preserve">Figure 6: Share of malignant samples by size of the largest cells.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cantSplit/>
        </w:trPr>
        <w:tc>
          <w:tcPr>
            <w:tcW w:type="dxa" w:w="2100"/>
            <w:tcBorders>
              <w:top w:val="single" w:color="BFBFBF" w:sz="4"/>
              <w:left w:val="single" w:color="BFBFBF" w:sz="4"/>
              <w:bottom w:val="single" w:color="BFBFBF" w:sz="4"/>
              <w:right w:val="single" w:color="BFBFBF" w:sz="4"/>
            </w:tcBorders>
            <w:shd w:fill="E8EEF7" w:color="auto" w:val="clear"/>
            <w:tcMar>
              <w:top w:type="dxa" w:w="70"/>
              <w:left w:type="dxa" w:w="110"/>
              <w:bottom w:type="dxa" w:w="70"/>
              <w:right w:type="dxa" w:w="110"/>
            </w:tcMar>
          </w:tcPr>
          <w:p>
            <w:r>
              <w:rPr>
                <w:rFonts w:ascii="Calibri" w:cs="Calibri" w:eastAsia="Calibri" w:hAnsi="Calibri"/>
                <w:b/>
                <w:bCs/>
                <w:color w:val="1F3864"/>
                <w:sz w:val="20"/>
                <w:szCs w:val="20"/>
              </w:rPr>
              <w:t xml:space="preserve">What it shows</w:t>
            </w:r>
          </w:p>
        </w:tc>
        <w:tc>
          <w:tcPr>
            <w:tcW w:type="dxa" w:w="69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Samples are grouped into six bands by the size of their largest cells. Each bar is the share of malignant samples in the band, with the number of samples written below.</w:t>
            </w:r>
          </w:p>
        </w:tc>
      </w:tr>
      <w:tr>
        <w:trPr>
          <w:cantSplit/>
        </w:trPr>
        <w:tc>
          <w:tcPr>
            <w:tcW w:type="dxa" w:w="2100"/>
            <w:tcBorders>
              <w:top w:val="single" w:color="BFBFBF" w:sz="4"/>
              <w:left w:val="single" w:color="BFBFBF" w:sz="4"/>
              <w:bottom w:val="single" w:color="BFBFBF" w:sz="4"/>
              <w:right w:val="single" w:color="BFBFBF" w:sz="4"/>
            </w:tcBorders>
            <w:shd w:fill="E8EEF7" w:color="auto" w:val="clear"/>
            <w:tcMar>
              <w:top w:type="dxa" w:w="70"/>
              <w:left w:type="dxa" w:w="110"/>
              <w:bottom w:type="dxa" w:w="70"/>
              <w:right w:type="dxa" w:w="110"/>
            </w:tcMar>
          </w:tcPr>
          <w:p>
            <w:r>
              <w:rPr>
                <w:rFonts w:ascii="Calibri" w:cs="Calibri" w:eastAsia="Calibri" w:hAnsi="Calibri"/>
                <w:b/>
                <w:bCs/>
                <w:color w:val="1F3864"/>
                <w:sz w:val="20"/>
                <w:szCs w:val="20"/>
              </w:rPr>
              <w:t xml:space="preserve">Why this chart</w:t>
            </w:r>
          </w:p>
        </w:tc>
        <w:tc>
          <w:tcPr>
            <w:tcW w:type="dxa" w:w="69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Bars starting at zero show rates honestly, and the colour deepens as risk grows. Printing the sample counts lets the reader judge how solid each bar is.</w:t>
            </w:r>
          </w:p>
        </w:tc>
      </w:tr>
      <w:tr>
        <w:trPr>
          <w:cantSplit/>
        </w:trPr>
        <w:tc>
          <w:tcPr>
            <w:tcW w:type="dxa" w:w="2100"/>
            <w:tcBorders>
              <w:top w:val="single" w:color="BFBFBF" w:sz="4"/>
              <w:left w:val="single" w:color="BFBFBF" w:sz="4"/>
              <w:bottom w:val="single" w:color="BFBFBF" w:sz="4"/>
              <w:right w:val="single" w:color="BFBFBF" w:sz="4"/>
            </w:tcBorders>
            <w:shd w:fill="E8EEF7" w:color="auto" w:val="clear"/>
            <w:tcMar>
              <w:top w:type="dxa" w:w="70"/>
              <w:left w:type="dxa" w:w="110"/>
              <w:bottom w:type="dxa" w:w="70"/>
              <w:right w:type="dxa" w:w="110"/>
            </w:tcMar>
          </w:tcPr>
          <w:p>
            <w:r>
              <w:rPr>
                <w:rFonts w:ascii="Calibri" w:cs="Calibri" w:eastAsia="Calibri" w:hAnsi="Calibri"/>
                <w:b/>
                <w:bCs/>
                <w:color w:val="1F3864"/>
                <w:sz w:val="20"/>
                <w:szCs w:val="20"/>
              </w:rPr>
              <w:t xml:space="preserve">Role in the story</w:t>
            </w:r>
          </w:p>
        </w:tc>
        <w:tc>
          <w:tcPr>
            <w:tcW w:type="dxa" w:w="69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It translates the analysis into a risk language that a non-technical reader can use: bands, not coefficients.</w:t>
            </w:r>
          </w:p>
        </w:tc>
      </w:tr>
    </w:tbl>
    <w:p>
      <w:pPr>
        <w:spacing w:after="120"/>
      </w:pPr>
    </w:p>
    <w:p>
      <w:pPr>
        <w:keepLines/>
        <w:shd w:fill="F3F4F6" w:color="auto" w:val="clear"/>
        <w:spacing w:after="0" w:before="80" w:line="240"/>
        <w:ind w:left="120" w:right="120"/>
      </w:pPr>
      <w:r>
        <w:rPr>
          <w:rFonts w:ascii="Courier New" w:cs="Courier New" w:eastAsia="Courier New" w:hAnsi="Courier New"/>
          <w:sz w:val="18"/>
          <w:szCs w:val="18"/>
        </w:rPr>
        <w:t xml:space="preserve">bins = [0, 12, 14, 16, 18, 20, 100]</w:t>
      </w:r>
    </w:p>
    <w:p>
      <w:pPr>
        <w:keepLines/>
        <w:shd w:fill="F3F4F6" w:color="auto" w:val="clear"/>
        <w:spacing w:after="0" w:line="240"/>
        <w:ind w:left="120" w:right="120"/>
      </w:pPr>
      <w:r>
        <w:rPr>
          <w:rFonts w:ascii="Courier New" w:cs="Courier New" w:eastAsia="Courier New" w:hAnsi="Courier New"/>
          <w:sz w:val="18"/>
          <w:szCs w:val="18"/>
        </w:rPr>
        <w:t xml:space="preserve">labels = ["Under 12", "12 to 14", "14 to 16", "16 to 18", "18 to 20", "Over 20"]</w:t>
      </w:r>
    </w:p>
    <w:p>
      <w:pPr>
        <w:keepLines/>
        <w:shd w:fill="F3F4F6" w:color="auto" w:val="clear"/>
        <w:spacing w:after="0" w:line="240"/>
        <w:ind w:left="120" w:right="120"/>
      </w:pPr>
      <w:r>
        <w:rPr>
          <w:rFonts w:ascii="Courier New" w:cs="Courier New" w:eastAsia="Courier New" w:hAnsi="Courier New"/>
          <w:sz w:val="18"/>
          <w:szCs w:val="18"/>
        </w:rPr>
        <w:t xml:space="preserve">df["radius_band"] = pd.cut(df["worst radius"], bins=bins, labels=labels)</w:t>
      </w:r>
    </w:p>
    <w:p>
      <w:pPr>
        <w:keepLines/>
        <w:shd w:fill="F3F4F6" w:color="auto" w:val="clear"/>
        <w:spacing w:after="0" w:line="240"/>
        <w:ind w:left="120" w:right="120"/>
      </w:pPr>
      <w:r>
        <w:rPr>
          <w:rFonts w:ascii="Courier New" w:cs="Courier New" w:eastAsia="Courier New" w:hAnsi="Courier New"/>
          <w:sz w:val="18"/>
          <w:szCs w:val="18"/>
        </w:rPr>
        <w:t xml:space="preserve">ladder = (df.groupby("radius_band", observed=True)["is_malignant"]</w:t>
      </w:r>
    </w:p>
    <w:p>
      <w:pPr>
        <w:keepLines/>
        <w:shd w:fill="F3F4F6" w:color="auto" w:val="clear"/>
        <w:spacing w:after="160" w:line="240"/>
        <w:ind w:left="120" w:right="120"/>
      </w:pPr>
      <w:r>
        <w:rPr>
          <w:rFonts w:ascii="Courier New" w:cs="Courier New" w:eastAsia="Courier New" w:hAnsi="Courier New"/>
          <w:sz w:val="18"/>
          <w:szCs w:val="18"/>
        </w:rPr>
        <w:t xml:space="preserve">            .agg(["mean", "size", "sum"]))</w:t>
      </w:r>
    </w:p>
    <w:p>
      <w:pPr>
        <w:spacing w:after="120" w:line="276"/>
      </w:pPr>
      <w:r>
        <w:rPr>
          <w:rFonts w:ascii="Calibri" w:cs="Calibri" w:eastAsia="Calibri" w:hAnsi="Calibri"/>
          <w:b/>
          <w:bCs/>
          <w:sz w:val="22"/>
          <w:szCs w:val="22"/>
        </w:rPr>
        <w:t xml:space="preserve">Takeaway: </w:t>
      </w:r>
      <w:r>
        <w:rPr>
          <w:rFonts w:ascii="Calibri" w:cs="Calibri" w:eastAsia="Calibri" w:hAnsi="Calibri"/>
          <w:sz w:val="22"/>
          <w:szCs w:val="22"/>
        </w:rPr>
        <w:t xml:space="preserve">the share of malignant samples is 0% for worst radius under 12 (86 samples), 2.8% for 12 to 14 (142), 15.0% for 14 to 16 (113), 53.4% for 16 to 18 (73), 91.2% for 18 to 20 (34) and 100% above 20 (121 samples). The steepest change happens between 14 and 20, which is where a closer look matters most. Below 14 only 4 of 228 samples are malignant.</w:t>
      </w:r>
    </w:p>
    <w:p>
      <w:pPr>
        <w:pStyle w:val="Heading2"/>
      </w:pPr>
      <w:r>
        <w:rPr>
          <w:rFonts w:ascii="Calibri" w:cs="Calibri" w:eastAsia="Calibri" w:hAnsi="Calibri"/>
        </w:rPr>
        <w:t xml:space="preserve">4.7 Act 7: The big picture</w:t>
      </w:r>
    </w:p>
    <w:p>
      <w:pPr>
        <w:keepNext/>
        <w:spacing w:after="60" w:before="120"/>
        <w:jc w:val="center"/>
      </w:pPr>
      <w:r>
        <w:drawing>
          <wp:inline distT="0" distB="0" distL="0" distR="0">
            <wp:extent cx="4953000" cy="3448050"/>
            <wp:effectExtent t="0" r="0" b="0" l="0"/>
            <wp:docPr id="1" name="fig7_big_picture.png" descr="Figure 7: All 30 measurements summarised in two overall patterns." title="Figure 7: All 30 measurements summarised in two overall patter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3448050"/>
                    </a:xfrm>
                    <a:prstGeom prst="rect">
                      <a:avLst/>
                    </a:prstGeom>
                  </pic:spPr>
                </pic:pic>
              </a:graphicData>
            </a:graphic>
          </wp:inline>
        </w:drawing>
      </w:r>
    </w:p>
    <w:p>
      <w:pPr>
        <w:keepNext/>
        <w:spacing w:after="160"/>
        <w:jc w:val="center"/>
      </w:pPr>
      <w:r>
        <w:rPr>
          <w:rFonts w:ascii="Calibri" w:cs="Calibri" w:eastAsia="Calibri" w:hAnsi="Calibri"/>
          <w:i/>
          <w:iCs/>
          <w:color w:val="404040"/>
          <w:sz w:val="20"/>
          <w:szCs w:val="20"/>
        </w:rPr>
        <w:t xml:space="preserve">Figure 7: All 30 measurements summarised in two overall patterns.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cantSplit/>
        </w:trPr>
        <w:tc>
          <w:tcPr>
            <w:tcW w:type="dxa" w:w="2100"/>
            <w:tcBorders>
              <w:top w:val="single" w:color="BFBFBF" w:sz="4"/>
              <w:left w:val="single" w:color="BFBFBF" w:sz="4"/>
              <w:bottom w:val="single" w:color="BFBFBF" w:sz="4"/>
              <w:right w:val="single" w:color="BFBFBF" w:sz="4"/>
            </w:tcBorders>
            <w:shd w:fill="E8EEF7" w:color="auto" w:val="clear"/>
            <w:tcMar>
              <w:top w:type="dxa" w:w="70"/>
              <w:left w:type="dxa" w:w="110"/>
              <w:bottom w:type="dxa" w:w="70"/>
              <w:right w:type="dxa" w:w="110"/>
            </w:tcMar>
          </w:tcPr>
          <w:p>
            <w:r>
              <w:rPr>
                <w:rFonts w:ascii="Calibri" w:cs="Calibri" w:eastAsia="Calibri" w:hAnsi="Calibri"/>
                <w:b/>
                <w:bCs/>
                <w:color w:val="1F3864"/>
                <w:sz w:val="20"/>
                <w:szCs w:val="20"/>
              </w:rPr>
              <w:t xml:space="preserve">What it shows</w:t>
            </w:r>
          </w:p>
        </w:tc>
        <w:tc>
          <w:tcPr>
            <w:tcW w:type="dxa" w:w="69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Each dot is one sample. A statistical method (principal component analysis) combines all 30 measurements into two summary patterns so that every sample can be placed on one page. The dashed ovals show where roughly 86% of each group falls.</w:t>
            </w:r>
          </w:p>
        </w:tc>
      </w:tr>
      <w:tr>
        <w:trPr>
          <w:cantSplit/>
        </w:trPr>
        <w:tc>
          <w:tcPr>
            <w:tcW w:type="dxa" w:w="2100"/>
            <w:tcBorders>
              <w:top w:val="single" w:color="BFBFBF" w:sz="4"/>
              <w:left w:val="single" w:color="BFBFBF" w:sz="4"/>
              <w:bottom w:val="single" w:color="BFBFBF" w:sz="4"/>
              <w:right w:val="single" w:color="BFBFBF" w:sz="4"/>
            </w:tcBorders>
            <w:shd w:fill="E8EEF7" w:color="auto" w:val="clear"/>
            <w:tcMar>
              <w:top w:type="dxa" w:w="70"/>
              <w:left w:type="dxa" w:w="110"/>
              <w:bottom w:type="dxa" w:w="70"/>
              <w:right w:type="dxa" w:w="110"/>
            </w:tcMar>
          </w:tcPr>
          <w:p>
            <w:r>
              <w:rPr>
                <w:rFonts w:ascii="Calibri" w:cs="Calibri" w:eastAsia="Calibri" w:hAnsi="Calibri"/>
                <w:b/>
                <w:bCs/>
                <w:color w:val="1F3864"/>
                <w:sz w:val="20"/>
                <w:szCs w:val="20"/>
              </w:rPr>
              <w:t xml:space="preserve">Why this chart</w:t>
            </w:r>
          </w:p>
        </w:tc>
        <w:tc>
          <w:tcPr>
            <w:tcW w:type="dxa" w:w="69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It is the only chart that uses all 30 measurements at once. The ovals make the shape and the overlap of the two groups easy to see.</w:t>
            </w:r>
          </w:p>
        </w:tc>
      </w:tr>
      <w:tr>
        <w:trPr>
          <w:cantSplit/>
        </w:trPr>
        <w:tc>
          <w:tcPr>
            <w:tcW w:type="dxa" w:w="2100"/>
            <w:tcBorders>
              <w:top w:val="single" w:color="BFBFBF" w:sz="4"/>
              <w:left w:val="single" w:color="BFBFBF" w:sz="4"/>
              <w:bottom w:val="single" w:color="BFBFBF" w:sz="4"/>
              <w:right w:val="single" w:color="BFBFBF" w:sz="4"/>
            </w:tcBorders>
            <w:shd w:fill="E8EEF7" w:color="auto" w:val="clear"/>
            <w:tcMar>
              <w:top w:type="dxa" w:w="70"/>
              <w:left w:type="dxa" w:w="110"/>
              <w:bottom w:type="dxa" w:w="70"/>
              <w:right w:type="dxa" w:w="110"/>
            </w:tcMar>
          </w:tcPr>
          <w:p>
            <w:r>
              <w:rPr>
                <w:rFonts w:ascii="Calibri" w:cs="Calibri" w:eastAsia="Calibri" w:hAnsi="Calibri"/>
                <w:b/>
                <w:bCs/>
                <w:color w:val="1F3864"/>
                <w:sz w:val="20"/>
                <w:szCs w:val="20"/>
              </w:rPr>
              <w:t xml:space="preserve">Role in the story</w:t>
            </w:r>
          </w:p>
        </w:tc>
        <w:tc>
          <w:tcPr>
            <w:tcW w:type="dxa" w:w="69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It closes the story. After looking at single clues and pairs of clues, the reader sees that the whole dataset forms two clouds, with an overlap that matches the grey zone found in Figure 5.</w:t>
            </w:r>
          </w:p>
        </w:tc>
      </w:tr>
    </w:tbl>
    <w:p>
      <w:pPr>
        <w:spacing w:after="120"/>
      </w:pPr>
    </w:p>
    <w:p>
      <w:pPr>
        <w:keepLines/>
        <w:shd w:fill="F3F4F6" w:color="auto" w:val="clear"/>
        <w:spacing w:after="0" w:before="80" w:line="240"/>
        <w:ind w:left="120" w:right="120"/>
      </w:pPr>
      <w:r>
        <w:rPr>
          <w:rFonts w:ascii="Courier New" w:cs="Courier New" w:eastAsia="Courier New" w:hAnsi="Courier New"/>
          <w:sz w:val="18"/>
          <w:szCs w:val="18"/>
        </w:rPr>
        <w:t xml:space="preserve">from sklearn.decomposition import PCA</w:t>
      </w:r>
    </w:p>
    <w:p>
      <w:pPr>
        <w:keepLines/>
        <w:shd w:fill="F3F4F6" w:color="auto" w:val="clear"/>
        <w:spacing w:after="0" w:line="240"/>
        <w:ind w:left="120" w:right="120"/>
      </w:pPr>
      <w:r>
        <w:rPr>
          <w:rFonts w:ascii="Courier New" w:cs="Courier New" w:eastAsia="Courier New" w:hAnsi="Courier New"/>
          <w:sz w:val="18"/>
          <w:szCs w:val="18"/>
        </w:rPr>
        <w:t xml:space="preserve">from sklearn.preprocessing import StandardScaler</w:t>
      </w:r>
    </w:p>
    <w:p>
      <w:pPr>
        <w:keepLines/>
        <w:shd w:fill="F3F4F6" w:color="auto" w:val="clear"/>
        <w:spacing w:after="0" w:line="240"/>
        <w:ind w:left="120" w:right="120"/>
      </w:pPr>
      <w:r>
        <w:rPr>
          <w:rFonts w:ascii="Courier New" w:cs="Courier New" w:eastAsia="Courier New" w:hAnsi="Courier New"/>
          <w:sz w:val="18"/>
          <w:szCs w:val="18"/>
        </w:rPr>
        <w:t xml:space="preserve"> </w:t>
      </w:r>
    </w:p>
    <w:p>
      <w:pPr>
        <w:keepLines/>
        <w:shd w:fill="F3F4F6" w:color="auto" w:val="clear"/>
        <w:spacing w:after="0" w:line="240"/>
        <w:ind w:left="120" w:right="120"/>
      </w:pPr>
      <w:r>
        <w:rPr>
          <w:rFonts w:ascii="Courier New" w:cs="Courier New" w:eastAsia="Courier New" w:hAnsi="Courier New"/>
          <w:sz w:val="18"/>
          <w:szCs w:val="18"/>
        </w:rPr>
        <w:t xml:space="preserve">X = StandardScaler().fit_transform(df[features])   # one common scale</w:t>
      </w:r>
    </w:p>
    <w:p>
      <w:pPr>
        <w:keepLines/>
        <w:shd w:fill="F3F4F6" w:color="auto" w:val="clear"/>
        <w:spacing w:after="0" w:line="240"/>
        <w:ind w:left="120" w:right="120"/>
      </w:pPr>
      <w:r>
        <w:rPr>
          <w:rFonts w:ascii="Courier New" w:cs="Courier New" w:eastAsia="Courier New" w:hAnsi="Courier New"/>
          <w:sz w:val="18"/>
          <w:szCs w:val="18"/>
        </w:rPr>
        <w:t xml:space="preserve">pca = PCA(n_components=2, random_state=42)</w:t>
      </w:r>
    </w:p>
    <w:p>
      <w:pPr>
        <w:keepLines/>
        <w:shd w:fill="F3F4F6" w:color="auto" w:val="clear"/>
        <w:spacing w:after="0" w:line="240"/>
        <w:ind w:left="120" w:right="120"/>
      </w:pPr>
      <w:r>
        <w:rPr>
          <w:rFonts w:ascii="Courier New" w:cs="Courier New" w:eastAsia="Courier New" w:hAnsi="Courier New"/>
          <w:sz w:val="18"/>
          <w:szCs w:val="18"/>
        </w:rPr>
        <w:t xml:space="preserve">Z = pca.fit_transform(X)</w:t>
      </w:r>
    </w:p>
    <w:p>
      <w:pPr>
        <w:keepLines/>
        <w:shd w:fill="F3F4F6" w:color="auto" w:val="clear"/>
        <w:spacing w:after="160" w:line="240"/>
        <w:ind w:left="120" w:right="120"/>
      </w:pPr>
      <w:r>
        <w:rPr>
          <w:rFonts w:ascii="Courier New" w:cs="Courier New" w:eastAsia="Courier New" w:hAnsi="Courier New"/>
          <w:sz w:val="18"/>
          <w:szCs w:val="18"/>
        </w:rPr>
        <w:t xml:space="preserve">print(pca.explained_variance_ratio_ * 100)</w:t>
      </w:r>
    </w:p>
    <w:p>
      <w:pPr>
        <w:spacing w:after="120" w:line="276"/>
      </w:pPr>
      <w:r>
        <w:rPr>
          <w:rFonts w:ascii="Calibri" w:cs="Calibri" w:eastAsia="Calibri" w:hAnsi="Calibri"/>
          <w:b/>
          <w:bCs/>
          <w:sz w:val="22"/>
          <w:szCs w:val="22"/>
        </w:rPr>
        <w:t xml:space="preserve">Takeaway: </w:t>
      </w:r>
      <w:r>
        <w:rPr>
          <w:rFonts w:ascii="Calibri" w:cs="Calibri" w:eastAsia="Calibri" w:hAnsi="Calibri"/>
          <w:sz w:val="22"/>
          <w:szCs w:val="22"/>
        </w:rPr>
        <w:t xml:space="preserve">the two patterns capture 63.2% of all variation (44.3% and 19.0%). On the first pattern the benign group is centred at -2.2 and the malignant group at +3.7, so the pattern separates them well, but the ovals overlap in the middle, and a few samples lie far from their group.</w:t>
      </w:r>
    </w:p>
    <w:p>
      <w:pPr>
        <w:pStyle w:val="Heading1"/>
      </w:pPr>
      <w:r>
        <w:rPr>
          <w:rFonts w:ascii="Calibri" w:cs="Calibri" w:eastAsia="Calibri" w:hAnsi="Calibri"/>
        </w:rPr>
        <w:t xml:space="preserve">5. The Story in Summary</w:t>
      </w:r>
    </w:p>
    <w:p>
      <w:pPr>
        <w:spacing w:after="120" w:line="276"/>
      </w:pPr>
      <w:r>
        <w:rPr>
          <w:rFonts w:ascii="Calibri" w:cs="Calibri" w:eastAsia="Calibri" w:hAnsi="Calibri"/>
          <w:sz w:val="22"/>
          <w:szCs w:val="22"/>
        </w:rPr>
        <w:t xml:space="preserve">Read in order, the seven charts form one argument. The data holds 569 samples, about a third of them malignant (Figure 1). Malignant samples are visibly different: larger, and with more dented outlines, although not rougher in any decisive way (Figure 2). The best single clues are about the most extreme cells (Figure 3), and many measurements are copies of one another (Figure 4), so a handful of clues carries most of the information. Two of them, worst radius and worst concave points, already sort three quarters of the samples with very high agreement, and leave a grey zone of about a quarter (Figure 5). Risk rises steadily with cell size, which can be communicated as bands (Figure 6). Finally, all 30 measurements together show two clouds with a limited overlap (Figure 7), which is the same grey zone seen from a wider angle.</w:t>
      </w:r>
    </w:p>
    <w:p>
      <w:pPr>
        <w:spacing w:after="120" w:line="276"/>
      </w:pPr>
      <w:r>
        <w:rPr>
          <w:rFonts w:ascii="Calibri" w:cs="Calibri" w:eastAsia="Calibri" w:hAnsi="Calibri"/>
          <w:sz w:val="22"/>
          <w:szCs w:val="22"/>
        </w:rPr>
        <w:t xml:space="preserve">The consistent message is that the data separates the two groups strongly but not perfectly, and that the value of the analysis lies as much in showing where it works as in showing where it does not.</w:t>
      </w:r>
    </w:p>
    <w:p>
      <w:pPr>
        <w:pStyle w:val="Heading1"/>
      </w:pPr>
      <w:r>
        <w:rPr>
          <w:rFonts w:ascii="Calibri" w:cs="Calibri" w:eastAsia="Calibri" w:hAnsi="Calibri"/>
        </w:rPr>
        <w:t xml:space="preserve">6. Implications</w:t>
      </w:r>
    </w:p>
    <w:p>
      <w:pPr>
        <w:pStyle w:val="Heading2"/>
      </w:pPr>
      <w:r>
        <w:rPr>
          <w:rFonts w:ascii="Calibri" w:cs="Calibri" w:eastAsia="Calibri" w:hAnsi="Calibri"/>
        </w:rPr>
        <w:t xml:space="preserve">6.1 Scientific implications</w:t>
      </w:r>
    </w:p>
    <w:p>
      <w:pPr>
        <w:pStyle w:val="ListParagraph"/>
        <w:numPr>
          <w:ilvl w:val="0"/>
          <w:numId w:val="3"/>
        </w:numPr>
        <w:spacing w:after="60" w:line="276"/>
      </w:pPr>
      <w:r>
        <w:rPr>
          <w:rFonts w:ascii="Calibri" w:cs="Calibri" w:eastAsia="Calibri" w:hAnsi="Calibri"/>
          <w:b/>
          <w:bCs/>
          <w:sz w:val="22"/>
          <w:szCs w:val="22"/>
        </w:rPr>
        <w:t xml:space="preserve">Measure the extremes. </w:t>
      </w:r>
      <w:r>
        <w:rPr>
          <w:rFonts w:ascii="Calibri" w:cs="Calibri" w:eastAsia="Calibri" w:hAnsi="Calibri"/>
          <w:sz w:val="22"/>
          <w:szCs w:val="22"/>
        </w:rPr>
        <w:t xml:space="preserve">Since the worst values are the strongest clues, measurement protocols and image analysis should capture the most extreme nuclei in a sample, not only the average.</w:t>
      </w:r>
    </w:p>
    <w:p>
      <w:pPr>
        <w:pStyle w:val="ListParagraph"/>
        <w:numPr>
          <w:ilvl w:val="0"/>
          <w:numId w:val="3"/>
        </w:numPr>
        <w:spacing w:after="60" w:line="276"/>
      </w:pPr>
      <w:r>
        <w:rPr>
          <w:rFonts w:ascii="Calibri" w:cs="Calibri" w:eastAsia="Calibri" w:hAnsi="Calibri"/>
          <w:b/>
          <w:bCs/>
          <w:sz w:val="22"/>
          <w:szCs w:val="22"/>
        </w:rPr>
        <w:t xml:space="preserve">Use fewer, more independent measurements. </w:t>
      </w:r>
      <w:r>
        <w:rPr>
          <w:rFonts w:ascii="Calibri" w:cs="Calibri" w:eastAsia="Calibri" w:hAnsi="Calibri"/>
          <w:sz w:val="22"/>
          <w:szCs w:val="22"/>
        </w:rPr>
        <w:t xml:space="preserve">Because radius, perimeter and area repeat each other, a smaller set of measurements could carry the same information. Roughness is weak alone but independent of size, so it may be worth keeping as a complementary clue.</w:t>
      </w:r>
    </w:p>
    <w:p>
      <w:pPr>
        <w:pStyle w:val="ListParagraph"/>
        <w:numPr>
          <w:ilvl w:val="0"/>
          <w:numId w:val="3"/>
        </w:numPr>
        <w:spacing w:after="60" w:line="276"/>
      </w:pPr>
      <w:r>
        <w:rPr>
          <w:rFonts w:ascii="Calibri" w:cs="Calibri" w:eastAsia="Calibri" w:hAnsi="Calibri"/>
          <w:b/>
          <w:bCs/>
          <w:sz w:val="22"/>
          <w:szCs w:val="22"/>
        </w:rPr>
        <w:t xml:space="preserve">Study the grey zone. </w:t>
      </w:r>
      <w:r>
        <w:rPr>
          <w:rFonts w:ascii="Calibri" w:cs="Calibri" w:eastAsia="Calibri" w:hAnsi="Calibri"/>
          <w:sz w:val="22"/>
          <w:szCs w:val="22"/>
        </w:rPr>
        <w:t xml:space="preserve">The 148 ambiguous samples are where new markers or extra tests would add the most knowledge, and a good target for future research.</w:t>
      </w:r>
    </w:p>
    <w:p>
      <w:pPr>
        <w:pStyle w:val="ListParagraph"/>
        <w:numPr>
          <w:ilvl w:val="0"/>
          <w:numId w:val="3"/>
        </w:numPr>
        <w:spacing w:after="60" w:line="276"/>
      </w:pPr>
      <w:r>
        <w:rPr>
          <w:rFonts w:ascii="Calibri" w:cs="Calibri" w:eastAsia="Calibri" w:hAnsi="Calibri"/>
          <w:b/>
          <w:bCs/>
          <w:sz w:val="22"/>
          <w:szCs w:val="22"/>
        </w:rPr>
        <w:t xml:space="preserve">Think in gradients, not switches. </w:t>
      </w:r>
      <w:r>
        <w:rPr>
          <w:rFonts w:ascii="Calibri" w:cs="Calibri" w:eastAsia="Calibri" w:hAnsi="Calibri"/>
          <w:sz w:val="22"/>
          <w:szCs w:val="22"/>
        </w:rPr>
        <w:t xml:space="preserve">The steady climb in Figure 6 suggests expressing results as a graded risk rather than a single yes or no.</w:t>
      </w:r>
    </w:p>
    <w:p>
      <w:pPr>
        <w:pStyle w:val="Heading2"/>
      </w:pPr>
      <w:r>
        <w:rPr>
          <w:rFonts w:ascii="Calibri" w:cs="Calibri" w:eastAsia="Calibri" w:hAnsi="Calibri"/>
        </w:rPr>
        <w:t xml:space="preserve">6.2 Business and health-service implications</w:t>
      </w:r>
    </w:p>
    <w:p>
      <w:pPr>
        <w:pStyle w:val="ListParagraph"/>
        <w:numPr>
          <w:ilvl w:val="0"/>
          <w:numId w:val="3"/>
        </w:numPr>
        <w:spacing w:after="60" w:line="276"/>
      </w:pPr>
      <w:r>
        <w:rPr>
          <w:rFonts w:ascii="Calibri" w:cs="Calibri" w:eastAsia="Calibri" w:hAnsi="Calibri"/>
          <w:b/>
          <w:bCs/>
          <w:sz w:val="22"/>
          <w:szCs w:val="22"/>
        </w:rPr>
        <w:t xml:space="preserve">Workload and prioritisation. </w:t>
      </w:r>
      <w:r>
        <w:rPr>
          <w:rFonts w:ascii="Calibri" w:cs="Calibri" w:eastAsia="Calibri" w:hAnsi="Calibri"/>
          <w:sz w:val="22"/>
          <w:szCs w:val="22"/>
        </w:rPr>
        <w:t xml:space="preserve">If a rule like the one in Figure 5 were validated, about three quarters of cases could be flagged as clear-cut, letting specialists spend more time on the grey zone. This is a hypothesis for testing, not a finding.</w:t>
      </w:r>
    </w:p>
    <w:p>
      <w:pPr>
        <w:pStyle w:val="ListParagraph"/>
        <w:numPr>
          <w:ilvl w:val="0"/>
          <w:numId w:val="3"/>
        </w:numPr>
        <w:spacing w:after="60" w:line="276"/>
      </w:pPr>
      <w:r>
        <w:rPr>
          <w:rFonts w:ascii="Calibri" w:cs="Calibri" w:eastAsia="Calibri" w:hAnsi="Calibri"/>
          <w:b/>
          <w:bCs/>
          <w:sz w:val="22"/>
          <w:szCs w:val="22"/>
        </w:rPr>
        <w:t xml:space="preserve">Cost and speed. </w:t>
      </w:r>
      <w:r>
        <w:rPr>
          <w:rFonts w:ascii="Calibri" w:cs="Calibri" w:eastAsia="Calibri" w:hAnsi="Calibri"/>
          <w:sz w:val="22"/>
          <w:szCs w:val="22"/>
        </w:rPr>
        <w:t xml:space="preserve">A short list of measurements is cheaper to collect, check and explain than a list of 30.</w:t>
      </w:r>
    </w:p>
    <w:p>
      <w:pPr>
        <w:pStyle w:val="ListParagraph"/>
        <w:numPr>
          <w:ilvl w:val="0"/>
          <w:numId w:val="3"/>
        </w:numPr>
        <w:spacing w:after="60" w:line="276"/>
      </w:pPr>
      <w:r>
        <w:rPr>
          <w:rFonts w:ascii="Calibri" w:cs="Calibri" w:eastAsia="Calibri" w:hAnsi="Calibri"/>
          <w:b/>
          <w:bCs/>
          <w:sz w:val="22"/>
          <w:szCs w:val="22"/>
        </w:rPr>
        <w:t xml:space="preserve">Communicating risk. </w:t>
      </w:r>
      <w:r>
        <w:rPr>
          <w:rFonts w:ascii="Calibri" w:cs="Calibri" w:eastAsia="Calibri" w:hAnsi="Calibri"/>
          <w:sz w:val="22"/>
          <w:szCs w:val="22"/>
        </w:rPr>
        <w:t xml:space="preserve">Banded risk like Figure 6 is easier for patients, managers and funders to understand than model scores, and supports clearer conversations about next steps.</w:t>
      </w:r>
    </w:p>
    <w:p>
      <w:pPr>
        <w:pStyle w:val="ListParagraph"/>
        <w:numPr>
          <w:ilvl w:val="0"/>
          <w:numId w:val="3"/>
        </w:numPr>
        <w:spacing w:after="60" w:line="276"/>
      </w:pPr>
      <w:r>
        <w:rPr>
          <w:rFonts w:ascii="Calibri" w:cs="Calibri" w:eastAsia="Calibri" w:hAnsi="Calibri"/>
          <w:b/>
          <w:bCs/>
          <w:sz w:val="22"/>
          <w:szCs w:val="22"/>
        </w:rPr>
        <w:t xml:space="preserve">Quality control. </w:t>
      </w:r>
      <w:r>
        <w:rPr>
          <w:rFonts w:ascii="Calibri" w:cs="Calibri" w:eastAsia="Calibri" w:hAnsi="Calibri"/>
          <w:sz w:val="22"/>
          <w:szCs w:val="22"/>
        </w:rPr>
        <w:t xml:space="preserve">A benign label in the over-20 band, or a malignant sample in the clear benign zone, is unusual in this dataset and could trigger a second review. The 3 malignant samples in the benign zone are a reminder that a simple rule can give false reassurance.</w:t>
      </w:r>
    </w:p>
    <w:p>
      <w:pPr>
        <w:pStyle w:val="Heading2"/>
      </w:pPr>
      <w:r>
        <w:rPr>
          <w:rFonts w:ascii="Calibri" w:cs="Calibri" w:eastAsia="Calibri" w:hAnsi="Calibri"/>
        </w:rPr>
        <w:t xml:space="preserve">6.3 How much do a few clues explain?</w:t>
      </w:r>
    </w:p>
    <w:p>
      <w:pPr>
        <w:spacing w:after="120" w:line="276"/>
      </w:pPr>
      <w:r>
        <w:rPr>
          <w:rFonts w:ascii="Calibri" w:cs="Calibri" w:eastAsia="Calibri" w:hAnsi="Calibri"/>
          <w:sz w:val="22"/>
          <w:szCs w:val="22"/>
        </w:rPr>
        <w:t xml:space="preserve">To check that the story from the charts holds up numerically, a simple model (logistic regression) was tested with 5-fold cross-validation, meaning each sample is predicted by a model that never saw it during training.</w:t>
      </w:r>
    </w:p>
    <w:p>
      <w:pPr>
        <w:keepLines/>
        <w:shd w:fill="F3F4F6" w:color="auto" w:val="clear"/>
        <w:spacing w:after="0" w:before="80" w:line="240"/>
        <w:ind w:left="120" w:right="120"/>
      </w:pPr>
      <w:r>
        <w:rPr>
          <w:rFonts w:ascii="Courier New" w:cs="Courier New" w:eastAsia="Courier New" w:hAnsi="Courier New"/>
          <w:sz w:val="18"/>
          <w:szCs w:val="18"/>
        </w:rPr>
        <w:t xml:space="preserve">from sklearn.linear_model import LogisticRegression</w:t>
      </w:r>
    </w:p>
    <w:p>
      <w:pPr>
        <w:keepLines/>
        <w:shd w:fill="F3F4F6" w:color="auto" w:val="clear"/>
        <w:spacing w:after="0" w:line="240"/>
        <w:ind w:left="120" w:right="120"/>
      </w:pPr>
      <w:r>
        <w:rPr>
          <w:rFonts w:ascii="Courier New" w:cs="Courier New" w:eastAsia="Courier New" w:hAnsi="Courier New"/>
          <w:sz w:val="18"/>
          <w:szCs w:val="18"/>
        </w:rPr>
        <w:t xml:space="preserve">from sklearn.model_selection import StratifiedKFold, cross_val_score</w:t>
      </w:r>
    </w:p>
    <w:p>
      <w:pPr>
        <w:keepLines/>
        <w:shd w:fill="F3F4F6" w:color="auto" w:val="clear"/>
        <w:spacing w:after="0" w:line="240"/>
        <w:ind w:left="120" w:right="120"/>
      </w:pPr>
      <w:r>
        <w:rPr>
          <w:rFonts w:ascii="Courier New" w:cs="Courier New" w:eastAsia="Courier New" w:hAnsi="Courier New"/>
          <w:sz w:val="18"/>
          <w:szCs w:val="18"/>
        </w:rPr>
        <w:t xml:space="preserve">from sklearn.pipeline import make_pipeline</w:t>
      </w:r>
    </w:p>
    <w:p>
      <w:pPr>
        <w:keepLines/>
        <w:shd w:fill="F3F4F6" w:color="auto" w:val="clear"/>
        <w:spacing w:after="0" w:line="240"/>
        <w:ind w:left="120" w:right="120"/>
      </w:pPr>
      <w:r>
        <w:rPr>
          <w:rFonts w:ascii="Courier New" w:cs="Courier New" w:eastAsia="Courier New" w:hAnsi="Courier New"/>
          <w:sz w:val="18"/>
          <w:szCs w:val="18"/>
        </w:rPr>
        <w:t xml:space="preserve"> </w:t>
      </w:r>
    </w:p>
    <w:p>
      <w:pPr>
        <w:keepLines/>
        <w:shd w:fill="F3F4F6" w:color="auto" w:val="clear"/>
        <w:spacing w:after="0" w:line="240"/>
        <w:ind w:left="120" w:right="120"/>
      </w:pPr>
      <w:r>
        <w:rPr>
          <w:rFonts w:ascii="Courier New" w:cs="Courier New" w:eastAsia="Courier New" w:hAnsi="Courier New"/>
          <w:sz w:val="18"/>
          <w:szCs w:val="18"/>
        </w:rPr>
        <w:t xml:space="preserve">cv = StratifiedKFold(n_splits=5, shuffle=True, random_state=42)</w:t>
      </w:r>
    </w:p>
    <w:p>
      <w:pPr>
        <w:keepLines/>
        <w:shd w:fill="F3F4F6" w:color="auto" w:val="clear"/>
        <w:spacing w:after="0" w:line="240"/>
        <w:ind w:left="120" w:right="120"/>
      </w:pPr>
      <w:r>
        <w:rPr>
          <w:rFonts w:ascii="Courier New" w:cs="Courier New" w:eastAsia="Courier New" w:hAnsi="Courier New"/>
          <w:sz w:val="18"/>
          <w:szCs w:val="18"/>
        </w:rPr>
        <w:t xml:space="preserve">model = make_pipeline(StandardScaler(), LogisticRegression(max_iter=1000))</w:t>
      </w:r>
    </w:p>
    <w:p>
      <w:pPr>
        <w:keepLines/>
        <w:shd w:fill="F3F4F6" w:color="auto" w:val="clear"/>
        <w:spacing w:after="0" w:line="240"/>
        <w:ind w:left="120" w:right="120"/>
      </w:pPr>
      <w:r>
        <w:rPr>
          <w:rFonts w:ascii="Courier New" w:cs="Courier New" w:eastAsia="Courier New" w:hAnsi="Courier New"/>
          <w:sz w:val="18"/>
          <w:szCs w:val="18"/>
        </w:rPr>
        <w:t xml:space="preserve">cols = ["worst radius", "worst concave points"]      # or the 5 strongest, or all 30</w:t>
      </w:r>
    </w:p>
    <w:p>
      <w:pPr>
        <w:keepLines/>
        <w:shd w:fill="F3F4F6" w:color="auto" w:val="clear"/>
        <w:spacing w:after="160" w:line="240"/>
        <w:ind w:left="120" w:right="120"/>
      </w:pPr>
      <w:r>
        <w:rPr>
          <w:rFonts w:ascii="Courier New" w:cs="Courier New" w:eastAsia="Courier New" w:hAnsi="Courier New"/>
          <w:sz w:val="18"/>
          <w:szCs w:val="18"/>
        </w:rPr>
        <w:t xml:space="preserve">scores = cross_val_score(model, df[cols], df["is_malignant"], cv=cv, scoring="accuracy")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26"/>
        <w:gridCol w:w="2000"/>
        <w:gridCol w:w="2000"/>
      </w:tblGrid>
      <w:tr>
        <w:trPr>
          <w:tblHeader/>
        </w:trPr>
        <w:tc>
          <w:tcPr>
            <w:tcW w:type="dxa" w:w="50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Clues used</w:t>
            </w:r>
          </w:p>
        </w:tc>
        <w:tc>
          <w:tcPr>
            <w:tcW w:type="dxa" w:w="2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Accuracy</w:t>
            </w:r>
          </w:p>
        </w:tc>
        <w:tc>
          <w:tcPr>
            <w:tcW w:type="dxa" w:w="2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Variation (+/-)</w:t>
            </w:r>
          </w:p>
        </w:tc>
      </w:tr>
      <w:tr>
        <w:trPr>
          <w:cantSplit/>
        </w:trPr>
        <w:tc>
          <w:tcPr>
            <w:tcW w:type="dxa" w:w="5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2 clues: worst radius and worst concave points</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94.4%</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2.3</w:t>
            </w:r>
          </w:p>
        </w:tc>
      </w:tr>
      <w:tr>
        <w:trPr>
          <w:cantSplit/>
        </w:trPr>
        <w:tc>
          <w:tcPr>
            <w:tcW w:type="dxa" w:w="5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5 strongest single clues</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94.2%</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1.5</w:t>
            </w:r>
          </w:p>
        </w:tc>
      </w:tr>
      <w:tr>
        <w:trPr>
          <w:cantSplit/>
        </w:trPr>
        <w:tc>
          <w:tcPr>
            <w:tcW w:type="dxa" w:w="5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All 30 measurements</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97.4%</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1.7</w:t>
            </w:r>
          </w:p>
        </w:tc>
      </w:tr>
    </w:tbl>
    <w:p>
      <w:pPr>
        <w:spacing w:after="120"/>
      </w:pPr>
    </w:p>
    <w:p>
      <w:pPr>
        <w:spacing w:after="120" w:line="276"/>
      </w:pPr>
      <w:r>
        <w:rPr>
          <w:rFonts w:ascii="Calibri" w:cs="Calibri" w:eastAsia="Calibri" w:hAnsi="Calibri"/>
          <w:sz w:val="22"/>
          <w:szCs w:val="22"/>
        </w:rPr>
        <w:t xml:space="preserve">Two clues reach 94.4%, and using all 30 measurements adds only about three percentage points (97.4%). Adding more of the strongest single clues does not help (94.2%) because they repeat each other, as Figure 4 showed. This supports the story's central message: a few well-chosen, independent clues carry most of the information.</w:t>
      </w:r>
    </w:p>
    <w:p>
      <w:pPr>
        <w:pStyle w:val="Heading2"/>
      </w:pPr>
      <w:r>
        <w:rPr>
          <w:rFonts w:ascii="Calibri" w:cs="Calibri" w:eastAsia="Calibri" w:hAnsi="Calibri"/>
        </w:rPr>
        <w:t xml:space="preserve">6.4 Responsible use</w:t>
      </w:r>
    </w:p>
    <w:p>
      <w:pPr>
        <w:spacing w:after="120" w:line="276"/>
      </w:pPr>
      <w:r>
        <w:rPr>
          <w:rFonts w:ascii="Calibri" w:cs="Calibri" w:eastAsia="Calibri" w:hAnsi="Calibri"/>
          <w:sz w:val="22"/>
          <w:szCs w:val="22"/>
        </w:rPr>
        <w:t xml:space="preserve">This is a learning exercise on a historical research dataset. It is not a diagnostic tool and nothing in this report is medical advice. Any real use would need independent validation, clinical oversight, and attention to the consequences of both false alarms and missed cases.</w:t>
      </w:r>
    </w:p>
    <w:p>
      <w:pPr>
        <w:pStyle w:val="Heading1"/>
      </w:pPr>
      <w:r>
        <w:rPr>
          <w:rFonts w:ascii="Calibri" w:cs="Calibri" w:eastAsia="Calibri" w:hAnsi="Calibri"/>
        </w:rPr>
        <w:t xml:space="preserve">7. Limitations</w:t>
      </w:r>
    </w:p>
    <w:p>
      <w:pPr>
        <w:pStyle w:val="ListParagraph"/>
        <w:numPr>
          <w:ilvl w:val="0"/>
          <w:numId w:val="3"/>
        </w:numPr>
        <w:spacing w:after="60" w:line="276"/>
      </w:pPr>
      <w:r>
        <w:rPr>
          <w:rFonts w:ascii="Calibri" w:cs="Calibri" w:eastAsia="Calibri" w:hAnsi="Calibri"/>
          <w:sz w:val="22"/>
          <w:szCs w:val="22"/>
        </w:rPr>
        <w:t xml:space="preserve">One dataset from one source. The samples come from a single research collection, so the patterns may not hold for other populations, hospitals or imaging equipment.</w:t>
      </w:r>
    </w:p>
    <w:p>
      <w:pPr>
        <w:pStyle w:val="ListParagraph"/>
        <w:numPr>
          <w:ilvl w:val="0"/>
          <w:numId w:val="3"/>
        </w:numPr>
        <w:spacing w:after="60" w:line="276"/>
      </w:pPr>
      <w:r>
        <w:rPr>
          <w:rFonts w:ascii="Calibri" w:cs="Calibri" w:eastAsia="Calibri" w:hAnsi="Calibri"/>
          <w:sz w:val="22"/>
          <w:szCs w:val="22"/>
        </w:rPr>
        <w:t xml:space="preserve">The malignant share (37.3%) is much higher than in real screening, so rates quoted here are not the chance that a patient has cancer.</w:t>
      </w:r>
    </w:p>
    <w:p>
      <w:pPr>
        <w:pStyle w:val="ListParagraph"/>
        <w:numPr>
          <w:ilvl w:val="0"/>
          <w:numId w:val="3"/>
        </w:numPr>
        <w:spacing w:after="60" w:line="276"/>
      </w:pPr>
      <w:r>
        <w:rPr>
          <w:rFonts w:ascii="Calibri" w:cs="Calibri" w:eastAsia="Calibri" w:hAnsi="Calibri"/>
          <w:sz w:val="22"/>
          <w:szCs w:val="22"/>
        </w:rPr>
        <w:t xml:space="preserve">The zone thresholds in Figure 5 and the size bands in Figure 6 were chosen by looking at the same data they describe, so the results are optimistic and unvalidated.</w:t>
      </w:r>
    </w:p>
    <w:p>
      <w:pPr>
        <w:pStyle w:val="ListParagraph"/>
        <w:numPr>
          <w:ilvl w:val="0"/>
          <w:numId w:val="3"/>
        </w:numPr>
        <w:spacing w:after="60" w:line="276"/>
      </w:pPr>
      <w:r>
        <w:rPr>
          <w:rFonts w:ascii="Calibri" w:cs="Calibri" w:eastAsia="Calibri" w:hAnsi="Calibri"/>
          <w:sz w:val="22"/>
          <w:szCs w:val="22"/>
        </w:rPr>
        <w:t xml:space="preserve">The cross-validated accuracy comes from 569 samples and one type of simple model. Other models might do better or worse.</w:t>
      </w:r>
    </w:p>
    <w:p>
      <w:pPr>
        <w:pStyle w:val="ListParagraph"/>
        <w:numPr>
          <w:ilvl w:val="0"/>
          <w:numId w:val="3"/>
        </w:numPr>
        <w:spacing w:after="60" w:line="276"/>
      </w:pPr>
      <w:r>
        <w:rPr>
          <w:rFonts w:ascii="Calibri" w:cs="Calibri" w:eastAsia="Calibri" w:hAnsi="Calibri"/>
          <w:sz w:val="22"/>
          <w:szCs w:val="22"/>
        </w:rPr>
        <w:t xml:space="preserve">The charts show association, not cause. A large nucleus does not by itself cause malignancy; it is a sign that goes with it.</w:t>
      </w:r>
    </w:p>
    <w:p>
      <w:pPr>
        <w:pStyle w:val="ListParagraph"/>
        <w:numPr>
          <w:ilvl w:val="0"/>
          <w:numId w:val="3"/>
        </w:numPr>
        <w:spacing w:after="60" w:line="276"/>
      </w:pPr>
      <w:r>
        <w:rPr>
          <w:rFonts w:ascii="Calibri" w:cs="Calibri" w:eastAsia="Calibri" w:hAnsi="Calibri"/>
          <w:sz w:val="22"/>
          <w:szCs w:val="22"/>
        </w:rPr>
        <w:t xml:space="preserve">Principal component analysis is a linear summary: the two patterns capture 63.2% of the variation, so some structure is not visible in Figure 7.</w:t>
      </w:r>
    </w:p>
    <w:p>
      <w:pPr>
        <w:pStyle w:val="ListParagraph"/>
        <w:numPr>
          <w:ilvl w:val="0"/>
          <w:numId w:val="3"/>
        </w:numPr>
        <w:spacing w:after="60" w:line="276"/>
      </w:pPr>
      <w:r>
        <w:rPr>
          <w:rFonts w:ascii="Calibri" w:cs="Calibri" w:eastAsia="Calibri" w:hAnsi="Calibri"/>
          <w:sz w:val="22"/>
          <w:szCs w:val="22"/>
        </w:rPr>
        <w:t xml:space="preserve">The measurements are computed from images, so some information about the original tissue is lost.</w:t>
      </w:r>
    </w:p>
    <w:p>
      <w:pPr>
        <w:pStyle w:val="Heading1"/>
      </w:pPr>
      <w:r>
        <w:rPr>
          <w:rFonts w:ascii="Calibri" w:cs="Calibri" w:eastAsia="Calibri" w:hAnsi="Calibri"/>
        </w:rPr>
        <w:t xml:space="preserve">8. Conclusion</w:t>
      </w:r>
    </w:p>
    <w:p>
      <w:pPr>
        <w:spacing w:after="120" w:line="276"/>
      </w:pPr>
      <w:r>
        <w:rPr>
          <w:rFonts w:ascii="Calibri" w:cs="Calibri" w:eastAsia="Calibri" w:hAnsi="Calibri"/>
          <w:sz w:val="22"/>
          <w:szCs w:val="22"/>
        </w:rPr>
        <w:t xml:space="preserve">This task turned a table of 569 rows and 30 columns into a seven-chart story that a non-technical reader can follow. The main design choices were to give every chart one message and a title that states it, to use colour consistently and accessibly, to label values directly, and to be open about caveats and scale. The findings are that malignant samples are larger and more dented, that the most extreme cells are the best clues, that many measurements repeat each other, that two clues sort about three quarters of the samples with very high agreement, and that a grey zone of about a quarter remains.</w:t>
      </w:r>
    </w:p>
    <w:p>
      <w:pPr>
        <w:spacing w:after="120" w:line="276"/>
      </w:pPr>
      <w:r>
        <w:rPr>
          <w:rFonts w:ascii="Calibri" w:cs="Calibri" w:eastAsia="Calibri" w:hAnsi="Calibri"/>
          <w:sz w:val="22"/>
          <w:szCs w:val="22"/>
        </w:rPr>
        <w:t xml:space="preserve">The most useful lesson is that good visualization is not only about making an attractive chart. It is about deciding what the reader should take away, choosing the chart that delivers it most honestly, and showing the limits of the evidence as clearly as its strengths.</w:t>
      </w:r>
    </w:p>
    <w:p>
      <w:pPr>
        <w:pStyle w:val="Heading1"/>
      </w:pPr>
      <w:r>
        <w:rPr>
          <w:rFonts w:ascii="Calibri" w:cs="Calibri" w:eastAsia="Calibri" w:hAnsi="Calibri"/>
        </w:rPr>
        <w:t xml:space="preserve">Appendix: Project Repository and How to Run</w:t>
      </w:r>
    </w:p>
    <w:p>
      <w:pPr>
        <w:spacing w:after="120" w:line="276"/>
      </w:pPr>
      <w:r>
        <w:rPr>
          <w:rFonts w:ascii="Calibri" w:cs="Calibri" w:eastAsia="Calibri" w:hAnsi="Calibri"/>
          <w:b/>
          <w:bCs/>
          <w:sz w:val="22"/>
          <w:szCs w:val="22"/>
        </w:rPr>
        <w:t xml:space="preserve">GitHub repository: </w:t>
      </w:r>
      <w:r>
        <w:rPr>
          <w:rFonts w:ascii="Calibri" w:cs="Calibri" w:eastAsia="Calibri" w:hAnsi="Calibri"/>
          <w:sz w:val="22"/>
          <w:szCs w:val="22"/>
        </w:rPr>
        <w:t xml:space="preserve">https://github.com/SameeraPeer/Virtual-Data-Science-with-Python/tree/main/week2_project</w:t>
      </w:r>
    </w:p>
    <w:p>
      <w:pPr>
        <w:spacing w:after="120"/>
      </w:pPr>
    </w:p>
    <w:p>
      <w:pPr>
        <w:keepLines/>
        <w:shd w:fill="F3F4F6" w:color="auto" w:val="clear"/>
        <w:spacing w:after="0" w:before="80" w:line="240"/>
        <w:ind w:left="120" w:right="120"/>
      </w:pPr>
      <w:r>
        <w:rPr>
          <w:rFonts w:ascii="Courier New" w:cs="Courier New" w:eastAsia="Courier New" w:hAnsi="Courier New"/>
          <w:sz w:val="18"/>
          <w:szCs w:val="18"/>
        </w:rPr>
        <w:t xml:space="preserve">week2_storytelling.py        main script (load, check, 7 figures, key numbers)</w:t>
      </w:r>
    </w:p>
    <w:p>
      <w:pPr>
        <w:keepLines/>
        <w:shd w:fill="F3F4F6" w:color="auto" w:val="clear"/>
        <w:spacing w:after="0" w:line="240"/>
        <w:ind w:left="120" w:right="120"/>
      </w:pPr>
      <w:r>
        <w:rPr>
          <w:rFonts w:ascii="Courier New" w:cs="Courier New" w:eastAsia="Courier New" w:hAnsi="Courier New"/>
          <w:sz w:val="18"/>
          <w:szCs w:val="18"/>
        </w:rPr>
        <w:t xml:space="preserve">requirements.txt             dependencies</w:t>
      </w:r>
    </w:p>
    <w:p>
      <w:pPr>
        <w:keepLines/>
        <w:shd w:fill="F3F4F6" w:color="auto" w:val="clear"/>
        <w:spacing w:after="0" w:line="240"/>
        <w:ind w:left="120" w:right="120"/>
      </w:pPr>
      <w:r>
        <w:rPr>
          <w:rFonts w:ascii="Courier New" w:cs="Courier New" w:eastAsia="Courier New" w:hAnsi="Courier New"/>
          <w:sz w:val="18"/>
          <w:szCs w:val="18"/>
        </w:rPr>
        <w:t xml:space="preserve">README.md                    project overview</w:t>
      </w:r>
    </w:p>
    <w:p>
      <w:pPr>
        <w:keepLines/>
        <w:shd w:fill="F3F4F6" w:color="auto" w:val="clear"/>
        <w:spacing w:after="0" w:line="240"/>
        <w:ind w:left="120" w:right="120"/>
      </w:pPr>
      <w:r>
        <w:rPr>
          <w:rFonts w:ascii="Courier New" w:cs="Courier New" w:eastAsia="Courier New" w:hAnsi="Courier New"/>
          <w:sz w:val="18"/>
          <w:szCs w:val="18"/>
        </w:rPr>
        <w:t xml:space="preserve">data/raw/                    dataset as loaded</w:t>
      </w:r>
    </w:p>
    <w:p>
      <w:pPr>
        <w:keepLines/>
        <w:shd w:fill="F3F4F6" w:color="auto" w:val="clear"/>
        <w:spacing w:after="0" w:line="240"/>
        <w:ind w:left="120" w:right="120"/>
      </w:pPr>
      <w:r>
        <w:rPr>
          <w:rFonts w:ascii="Courier New" w:cs="Courier New" w:eastAsia="Courier New" w:hAnsi="Courier New"/>
          <w:sz w:val="18"/>
          <w:szCs w:val="18"/>
        </w:rPr>
        <w:t xml:space="preserve">data/processed/              dataset with labels and size bands</w:t>
      </w:r>
    </w:p>
    <w:p>
      <w:pPr>
        <w:keepLines/>
        <w:shd w:fill="F3F4F6" w:color="auto" w:val="clear"/>
        <w:spacing w:after="0" w:line="240"/>
        <w:ind w:left="120" w:right="120"/>
      </w:pPr>
      <w:r>
        <w:rPr>
          <w:rFonts w:ascii="Courier New" w:cs="Courier New" w:eastAsia="Courier New" w:hAnsi="Courier New"/>
          <w:sz w:val="18"/>
          <w:szCs w:val="18"/>
        </w:rPr>
        <w:t xml:space="preserve">figures/                     the 7 visualizations (PNG)</w:t>
      </w:r>
    </w:p>
    <w:p>
      <w:pPr>
        <w:keepLines/>
        <w:shd w:fill="F3F4F6" w:color="auto" w:val="clear"/>
        <w:spacing w:after="160" w:line="240"/>
        <w:ind w:left="120" w:right="120"/>
      </w:pPr>
      <w:r>
        <w:rPr>
          <w:rFonts w:ascii="Courier New" w:cs="Courier New" w:eastAsia="Courier New" w:hAnsi="Courier New"/>
          <w:sz w:val="18"/>
          <w:szCs w:val="18"/>
        </w:rPr>
        <w:t xml:space="preserve">reports/key_numbers.txt      every number quoted in this report</w:t>
      </w:r>
    </w:p>
    <w:p>
      <w:pPr>
        <w:spacing w:after="120" w:line="276"/>
      </w:pPr>
      <w:r>
        <w:rPr>
          <w:rFonts w:ascii="Calibri" w:cs="Calibri" w:eastAsia="Calibri" w:hAnsi="Calibri"/>
          <w:sz w:val="22"/>
          <w:szCs w:val="22"/>
        </w:rPr>
        <w:t xml:space="preserve">To reproduce the results:</w:t>
      </w:r>
    </w:p>
    <w:p>
      <w:pPr>
        <w:keepLines/>
        <w:shd w:fill="F3F4F6" w:color="auto" w:val="clear"/>
        <w:spacing w:after="0" w:before="80" w:line="240"/>
        <w:ind w:left="120" w:right="120"/>
      </w:pPr>
      <w:r>
        <w:rPr>
          <w:rFonts w:ascii="Courier New" w:cs="Courier New" w:eastAsia="Courier New" w:hAnsi="Courier New"/>
          <w:sz w:val="18"/>
          <w:szCs w:val="18"/>
        </w:rPr>
        <w:t xml:space="preserve">pip install -r requirements.txt</w:t>
      </w:r>
    </w:p>
    <w:p>
      <w:pPr>
        <w:keepLines/>
        <w:shd w:fill="F3F4F6" w:color="auto" w:val="clear"/>
        <w:spacing w:after="160" w:line="240"/>
        <w:ind w:left="120" w:right="120"/>
      </w:pPr>
      <w:r>
        <w:rPr>
          <w:rFonts w:ascii="Courier New" w:cs="Courier New" w:eastAsia="Courier New" w:hAnsi="Courier New"/>
          <w:sz w:val="18"/>
          <w:szCs w:val="18"/>
        </w:rPr>
        <w:t xml:space="preserve">python week2_storytelling.py</w:t>
      </w:r>
    </w:p>
    <w:p>
      <w:pPr>
        <w:spacing w:after="120" w:line="276"/>
      </w:pPr>
      <w:r>
        <w:rPr>
          <w:rFonts w:ascii="Calibri" w:cs="Calibri" w:eastAsia="Calibri" w:hAnsi="Calibri"/>
          <w:sz w:val="22"/>
          <w:szCs w:val="22"/>
        </w:rPr>
        <w:t xml:space="preserve">The script needs no internet connection because the dataset is included with scikit-learn.</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Week 2 Report  |  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240"/>
      <w:outlineLvl w:val="1"/>
    </w:pPr>
    <w:rPr>
      <w:rFonts w:ascii="Calibri" w:cs="Calibri" w:eastAsia="Calibri" w:hAnsi="Calibri"/>
      <w:b/>
      <w:bCs/>
      <w:color w:val="2F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a25ba76a304c197d021123b7343eed0a4a07796.png"/><Relationship Id="rId9" Type="http://schemas.openxmlformats.org/officeDocument/2006/relationships/image" Target="media/e3792a8e8fb765ed74bb3cd67daeaa026b2e3858.png"/><Relationship Id="rId10" Type="http://schemas.openxmlformats.org/officeDocument/2006/relationships/image" Target="media/895ea6e238f599ab46d5c9ce247f86b3b5034665.png"/><Relationship Id="rId11" Type="http://schemas.openxmlformats.org/officeDocument/2006/relationships/image" Target="media/44273f069d6fd608ade5ebc308dafb9ebd1a729d.png"/><Relationship Id="rId12" Type="http://schemas.openxmlformats.org/officeDocument/2006/relationships/image" Target="media/367601b173f23b5e92664e500a5cd1a474cb78a2.png"/><Relationship Id="rId13" Type="http://schemas.openxmlformats.org/officeDocument/2006/relationships/image" Target="media/d4f09ffaf8e534299bd26a88b6a6da68fb133d0f.png"/><Relationship Id="rId14" Type="http://schemas.openxmlformats.org/officeDocument/2006/relationships/image" Target="media/5c6d624451b38338d7d8b8f02d2a3eb32fc79f55.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2: Advanced Data Visualization and Storytelling</dc:title>
  <dc:creator>Week 2 Report</dc:creator>
  <cp:lastModifiedBy>Un-named</cp:lastModifiedBy>
  <cp:revision>1</cp:revision>
  <dcterms:created xsi:type="dcterms:W3CDTF">2026-10-29T11:19:37.045Z</dcterms:created>
  <dcterms:modified xsi:type="dcterms:W3CDTF">2026-10-29T11:19:37.045Z</dcterms:modified>
</cp:coreProperties>
</file>

<file path=docProps/custom.xml><?xml version="1.0" encoding="utf-8"?>
<Properties xmlns="http://schemas.openxmlformats.org/officeDocument/2006/custom-properties" xmlns:vt="http://schemas.openxmlformats.org/officeDocument/2006/docPropsVTypes"/>
</file>