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Nobel" w:cs="Nobel" w:eastAsia="Nobel" w:hAnsi="Nobel"/>
          <w:b/>
          <w:bCs/>
          <w:color w:val="1E1040"/>
          <w:sz w:val="40"/>
          <w:szCs w:val="40"/>
        </w:rPr>
        <w:t xml:space="preserve">Coaching Mission Statement and Referral Framework</w:t>
      </w:r>
    </w:p>
    <w:p>
      <w:pPr>
        <w:pStyle w:val="Subtitle"/>
      </w:pPr>
      <w:r>
        <w:rPr>
          <w:rFonts w:ascii="Nobel" w:cs="Nobel" w:eastAsia="Nobel" w:hAnsi="Nobel"/>
          <w:i/>
          <w:iCs/>
          <w:color w:val="4A2D8A"/>
          <w:sz w:val="22"/>
          <w:szCs w:val="22"/>
        </w:rPr>
        <w:t xml:space="preserve">Anna Lou Scaife    ·    Trauma Informed Somatic Coach    ·    Anna Lou Wellness</w:t>
      </w:r>
    </w:p>
    <w:p>
      <w:pPr>
        <w:pStyle w:val="Heading1"/>
      </w:pPr>
      <w:r>
        <w:rPr>
          <w:rFonts w:ascii="Nobel" w:cs="Nobel" w:eastAsia="Nobel" w:hAnsi="Nobel"/>
          <w:b/>
          <w:bCs/>
          <w:color w:val="1E1040"/>
          <w:sz w:val="32"/>
          <w:szCs w:val="32"/>
        </w:rPr>
        <w:t xml:space="preserve">Mission Statement</w:t>
      </w:r>
    </w:p>
    <w:p>
      <w:pPr>
        <w:spacing w:after="400" w:before="200" w:line="360"/>
        <w:jc w:val="center"/>
      </w:pPr>
      <w:r>
        <w:rPr>
          <w:rFonts w:ascii="Nobel" w:cs="Nobel" w:eastAsia="Nobel" w:hAnsi="Nobel"/>
          <w:i/>
          <w:iCs/>
          <w:color w:val="1E1040"/>
          <w:sz w:val="28"/>
          <w:szCs w:val="28"/>
        </w:rPr>
        <w:t xml:space="preserve">To help founders, leaders, and anyone living in a body that has been overridden, return to themselves through trauma informed somatic practice, so that the reset they are in becomes the beginning of who they are becoming.</w:t>
      </w:r>
    </w:p>
    <w:p>
      <w:pPr>
        <w:pStyle w:val="Heading1"/>
      </w:pPr>
      <w:r>
        <w:rPr>
          <w:rFonts w:ascii="Nobel" w:cs="Nobel" w:eastAsia="Nobel" w:hAnsi="Nobel"/>
          <w:b/>
          <w:bCs/>
          <w:color w:val="1E1040"/>
          <w:sz w:val="32"/>
          <w:szCs w:val="32"/>
        </w:rPr>
        <w:t xml:space="preserve">About the Work</w:t>
      </w:r>
    </w:p>
    <w:p>
      <w:pPr>
        <w:spacing w:after="160" w:line="320"/>
        <w:jc w:val="both"/>
      </w:pPr>
      <w:r>
        <w:rPr>
          <w:rFonts w:ascii="Nobel" w:cs="Nobel" w:eastAsia="Nobel" w:hAnsi="Nobel"/>
          <w:sz w:val="22"/>
          <w:szCs w:val="22"/>
        </w:rPr>
        <w:t xml:space="preserve">There is a particular kind of tired that high functioning people know. The kind that does not show up in your calendar or your bank account, but lives quietly in your jaw, your shoulders, the breath that will not quite fill. You have built the thing. You have done the courses. You have mastered the strategies. And still, something underneath is asking for attention.</w:t>
      </w:r>
    </w:p>
    <w:p>
      <w:pPr>
        <w:spacing w:after="160" w:line="320"/>
        <w:jc w:val="both"/>
      </w:pPr>
      <w:r>
        <w:rPr>
          <w:rFonts w:ascii="Nobel" w:cs="Nobel" w:eastAsia="Nobel" w:hAnsi="Nobel"/>
          <w:sz w:val="22"/>
          <w:szCs w:val="22"/>
        </w:rPr>
        <w:t xml:space="preserve">I am a trauma informed somatic coach. I work with founders, leaders, and people who have spent years overriding their own signals: pushing through, performing, achieving, and burying the parts of themselves that did not fit. My specialism is reset, including reset after divorce, after abuse, after grief, after the kind of rupture that makes the old strategies stop working. The body keeps a record. Eventually, that record asks to be read.</w:t>
      </w:r>
    </w:p>
    <w:p>
      <w:pPr>
        <w:spacing w:after="160" w:line="320"/>
        <w:jc w:val="both"/>
      </w:pPr>
      <w:r>
        <w:rPr>
          <w:rFonts w:ascii="Nobel" w:cs="Nobel" w:eastAsia="Nobel" w:hAnsi="Nobel"/>
          <w:sz w:val="22"/>
          <w:szCs w:val="22"/>
        </w:rPr>
        <w:t xml:space="preserve">I work with the nervous system, because that is where the answer lives. Polyvagal theory, the framework underpinning much of my practice, shows us that the body is not a machine to be managed but an intelligent system that has been doing its best to keep you safe. The tightness, the fatigue, the snapping at the people you love, the inability to rest, the inability to feel: these are not personal failings. They are nervous system states. Once you understand what your body is actually doing, you can begin to work with it rather than against it.</w:t>
      </w:r>
    </w:p>
    <w:p>
      <w:pPr>
        <w:spacing w:after="160" w:line="320"/>
        <w:jc w:val="both"/>
      </w:pPr>
      <w:r>
        <w:rPr>
          <w:rFonts w:ascii="Nobel" w:cs="Nobel" w:eastAsia="Nobel" w:hAnsi="Nobel"/>
          <w:sz w:val="22"/>
          <w:szCs w:val="22"/>
        </w:rPr>
        <w:t xml:space="preserve">I write this as someone who built a brand over 25 years, and as someone who has lived through domestic abuse and psychological harm. I know what it is to run a business, raise a family, hold a public face together, and quietly be coming apart underneath. I also know what it is to come back. Not to who you were before, but to a self that is steadier, more honest, more whole. Post traumatic growth is real. It is the work of returning to your body and finding that you are still in there, and that the version of you on the other side is in many ways more yourself than the one who started.</w:t>
      </w:r>
    </w:p>
    <w:p>
      <w:pPr>
        <w:spacing w:after="160" w:line="320"/>
        <w:jc w:val="both"/>
      </w:pPr>
      <w:r>
        <w:rPr>
          <w:rFonts w:ascii="Nobel" w:cs="Nobel" w:eastAsia="Nobel" w:hAnsi="Nobel"/>
          <w:sz w:val="22"/>
          <w:szCs w:val="22"/>
        </w:rPr>
        <w:t xml:space="preserve">My approach integrates conscious connected breathwork, bilateral tapping, meditation, somatic practice, and nervous system work grounded in polyvagal theory. I hold ICF and CPD accreditation, and I work within clear scope of practice boundaries. I am a coach, not a therapist. I do not diagnose, treat, or attempt to resolve clinical conditions. Where therapy, medical care, legal advice, safeguarding support, or specialist services are indicated, I refer.</w:t>
      </w:r>
    </w:p>
    <w:p>
      <w:pPr>
        <w:spacing w:after="160" w:line="320"/>
        <w:jc w:val="both"/>
      </w:pPr>
      <w:r>
        <w:rPr>
          <w:rFonts w:ascii="Nobel" w:cs="Nobel" w:eastAsia="Nobel" w:hAnsi="Nobel"/>
          <w:sz w:val="22"/>
          <w:szCs w:val="22"/>
        </w:rPr>
        <w:t xml:space="preserve">I am committed to:</w:t>
      </w:r>
    </w:p>
    <w:p>
      <w:pPr>
        <w:spacing w:after="160" w:line="320"/>
        <w:jc w:val="both"/>
      </w:pPr>
      <w:r>
        <w:rPr>
          <w:rFonts w:ascii="Nobel" w:cs="Nobel" w:eastAsia="Nobel" w:hAnsi="Nobel"/>
          <w:b/>
          <w:bCs/>
          <w:i/>
          <w:iCs/>
          <w:sz w:val="22"/>
          <w:szCs w:val="22"/>
        </w:rPr>
        <w:t xml:space="preserve">Holding space without rescuing. </w:t>
      </w:r>
      <w:r>
        <w:rPr>
          <w:rFonts w:ascii="Nobel" w:cs="Nobel" w:eastAsia="Nobel" w:hAnsi="Nobel"/>
          <w:sz w:val="22"/>
          <w:szCs w:val="22"/>
        </w:rPr>
        <w:t xml:space="preserve">Clients are the experts on their own lives. My role is to reflect, regulate, and resource, not to fix.</w:t>
      </w:r>
    </w:p>
    <w:p>
      <w:pPr>
        <w:spacing w:after="160" w:line="320"/>
        <w:jc w:val="both"/>
      </w:pPr>
      <w:r>
        <w:rPr>
          <w:rFonts w:ascii="Nobel" w:cs="Nobel" w:eastAsia="Nobel" w:hAnsi="Nobel"/>
          <w:b/>
          <w:bCs/>
          <w:i/>
          <w:iCs/>
          <w:sz w:val="22"/>
          <w:szCs w:val="22"/>
        </w:rPr>
        <w:t xml:space="preserve">Bodily consent and choice. </w:t>
      </w:r>
      <w:r>
        <w:rPr>
          <w:rFonts w:ascii="Nobel" w:cs="Nobel" w:eastAsia="Nobel" w:hAnsi="Nobel"/>
          <w:sz w:val="22"/>
          <w:szCs w:val="22"/>
        </w:rPr>
        <w:t xml:space="preserve">Every somatic invitation is offered, never imposed. The right to say no, to slow down, or to change your mind is part of the healing.</w:t>
      </w:r>
    </w:p>
    <w:p>
      <w:pPr>
        <w:spacing w:after="160" w:line="320"/>
        <w:jc w:val="both"/>
      </w:pPr>
      <w:r>
        <w:rPr>
          <w:rFonts w:ascii="Nobel" w:cs="Nobel" w:eastAsia="Nobel" w:hAnsi="Nobel"/>
          <w:b/>
          <w:bCs/>
          <w:i/>
          <w:iCs/>
          <w:sz w:val="22"/>
          <w:szCs w:val="22"/>
        </w:rPr>
        <w:t xml:space="preserve">Honest scope. </w:t>
      </w:r>
      <w:r>
        <w:rPr>
          <w:rFonts w:ascii="Nobel" w:cs="Nobel" w:eastAsia="Nobel" w:hAnsi="Nobel"/>
          <w:sz w:val="22"/>
          <w:szCs w:val="22"/>
        </w:rPr>
        <w:t xml:space="preserve">I will name what is outside my remit and connect clients with the right support, even when it means losing the work.</w:t>
      </w:r>
    </w:p>
    <w:p>
      <w:pPr>
        <w:spacing w:after="160" w:line="320"/>
        <w:jc w:val="both"/>
      </w:pPr>
      <w:r>
        <w:rPr>
          <w:rFonts w:ascii="Nobel" w:cs="Nobel" w:eastAsia="Nobel" w:hAnsi="Nobel"/>
          <w:b/>
          <w:bCs/>
          <w:i/>
          <w:iCs/>
          <w:sz w:val="22"/>
          <w:szCs w:val="22"/>
        </w:rPr>
        <w:t xml:space="preserve">Cultural humility and inclusion. </w:t>
      </w:r>
      <w:r>
        <w:rPr>
          <w:rFonts w:ascii="Nobel" w:cs="Nobel" w:eastAsia="Nobel" w:hAnsi="Nobel"/>
          <w:sz w:val="22"/>
          <w:szCs w:val="22"/>
        </w:rPr>
        <w:t xml:space="preserve">I work to recognise my own blind spots and continue training in working with difference, including around race, class, neurodivergence, and faith.</w:t>
      </w:r>
    </w:p>
    <w:p>
      <w:pPr>
        <w:spacing w:after="160" w:line="320"/>
        <w:jc w:val="both"/>
      </w:pPr>
      <w:r>
        <w:rPr>
          <w:rFonts w:ascii="Nobel" w:cs="Nobel" w:eastAsia="Nobel" w:hAnsi="Nobel"/>
          <w:b/>
          <w:bCs/>
          <w:i/>
          <w:iCs/>
          <w:sz w:val="22"/>
          <w:szCs w:val="22"/>
        </w:rPr>
        <w:t xml:space="preserve">Confidentiality and clear contracting. </w:t>
      </w:r>
      <w:r>
        <w:rPr>
          <w:rFonts w:ascii="Nobel" w:cs="Nobel" w:eastAsia="Nobel" w:hAnsi="Nobel"/>
          <w:sz w:val="22"/>
          <w:szCs w:val="22"/>
        </w:rPr>
        <w:t xml:space="preserve">Clients know what they are signing up for, how long it lasts, what is included, and what to do if something goes wrong.</w:t>
      </w:r>
    </w:p>
    <w:p>
      <w:pPr>
        <w:spacing w:after="160" w:line="320"/>
        <w:jc w:val="both"/>
      </w:pPr>
      <w:r>
        <w:rPr>
          <w:rFonts w:ascii="Nobel" w:cs="Nobel" w:eastAsia="Nobel" w:hAnsi="Nobel"/>
          <w:sz w:val="22"/>
          <w:szCs w:val="22"/>
        </w:rPr>
        <w:t xml:space="preserve">I work from my houseboat in Hampton, in 1:1 sessions, small groups, retreats, and corporate settings. Whether you are a founder who can no longer ignore what your body is telling you, someone rebuilding after rupture, or a leader who knows there is more to becoming than the next strategy, you are welcome here. The reset is not a return to who you were. It is the beginning of who you become.</w:t>
      </w:r>
    </w:p>
    <w:p>
      <w:pPr>
        <w:pStyle w:val="Heading1"/>
      </w:pPr>
      <w:r>
        <w:rPr>
          <w:rFonts w:ascii="Nobel" w:cs="Nobel" w:eastAsia="Nobel" w:hAnsi="Nobel"/>
          <w:b/>
          <w:bCs/>
          <w:color w:val="1E1040"/>
          <w:sz w:val="32"/>
          <w:szCs w:val="32"/>
        </w:rPr>
        <w:t xml:space="preserve">Referral and Collaboration</w:t>
      </w:r>
    </w:p>
    <w:p>
      <w:pPr>
        <w:spacing w:after="160" w:line="320"/>
        <w:jc w:val="both"/>
      </w:pPr>
      <w:r>
        <w:rPr>
          <w:rFonts w:ascii="Nobel" w:cs="Nobel" w:eastAsia="Nobel" w:hAnsi="Nobel"/>
          <w:sz w:val="22"/>
          <w:szCs w:val="22"/>
        </w:rPr>
        <w:t xml:space="preserve">My work is with founders, leaders, and people navigating reset, including reset after abuse, divorce, and grief, and the slower erosion of self that comes from years of overriding the body’s signals. Within that audience, certain presentations sit outside the scope of somatic coaching and require either referral or close collaboration with another professional. Knowing the difference, and acting on it without ego, is part of the work. Because my clients often come to me after their trust has been broken by people or systems that should have helped, getting referral right is not just professional good practice. It is part of what makes the work safe.</w:t>
      </w:r>
    </w:p>
    <w:p>
      <w:pPr>
        <w:spacing w:after="160" w:line="320"/>
        <w:jc w:val="both"/>
      </w:pPr>
      <w:r>
        <w:rPr>
          <w:rFonts w:ascii="Nobel" w:cs="Nobel" w:eastAsia="Nobel" w:hAnsi="Nobel"/>
          <w:sz w:val="22"/>
          <w:szCs w:val="22"/>
        </w:rPr>
        <w:t xml:space="preserve">Below are the most likely scenarios I anticipate, with how I would handle each.</w:t>
      </w:r>
    </w:p>
    <w:p>
      <w:pPr>
        <w:spacing w:after="160" w:line="320"/>
        <w:jc w:val="both"/>
      </w:pPr>
      <w:r>
        <w:rPr>
          <w:rFonts w:ascii="Nobel" w:cs="Nobel" w:eastAsia="Nobel" w:hAnsi="Nobel"/>
          <w:b/>
          <w:bCs/>
          <w:sz w:val="22"/>
          <w:szCs w:val="22"/>
        </w:rPr>
        <w:t xml:space="preserve">Active domestic abuse and coercive control. </w:t>
      </w:r>
      <w:r>
        <w:rPr>
          <w:rFonts w:ascii="Nobel" w:cs="Nobel" w:eastAsia="Nobel" w:hAnsi="Nobel"/>
          <w:sz w:val="22"/>
          <w:szCs w:val="22"/>
        </w:rPr>
        <w:t xml:space="preserve">This is the most important referral I make. Coaching is not a substitute for safety. If a client is still in the relationship, or recently out and at risk, my first responsibility is to support them in accessing specialist domestic abuse services, not to do somatic work that could destabilise them while they are unsafe. I refer to Refuge (0808 2000 247), Women’s Aid, the Men’s Advice Line (0808 8010 327), and where relevant the National Stalking Helpline. I do not advise on safety planning, MARAC referrals, or non molestation orders. Those are specialist roles. I hold the somatic and emotional ground alongside that work, with the client’s consent, and only when basic safety is in place.</w:t>
      </w:r>
    </w:p>
    <w:p>
      <w:pPr>
        <w:spacing w:after="160" w:line="320"/>
        <w:jc w:val="both"/>
      </w:pPr>
      <w:r>
        <w:rPr>
          <w:rFonts w:ascii="Nobel" w:cs="Nobel" w:eastAsia="Nobel" w:hAnsi="Nobel"/>
          <w:b/>
          <w:bCs/>
          <w:sz w:val="22"/>
          <w:szCs w:val="22"/>
        </w:rPr>
        <w:t xml:space="preserve">Clinical mental health needs. </w:t>
      </w:r>
      <w:r>
        <w:rPr>
          <w:rFonts w:ascii="Nobel" w:cs="Nobel" w:eastAsia="Nobel" w:hAnsi="Nobel"/>
          <w:sz w:val="22"/>
          <w:szCs w:val="22"/>
        </w:rPr>
        <w:t xml:space="preserve">Suicidal ideation, active self harm, severe depression, panic disorder, psychosis, or active dissociation outside the window of tolerance all sit outside coaching. If a client discloses suicidal thoughts or shows signs of acute crisis, my protocol is to pause coaching, stay regulated and present, signpost to their GP and the Samaritans (116 123), and where appropriate offer to support them in making that first call. I follow up in writing with resources and pause the coaching agreement until they are stable and have appropriate clinical support in place.</w:t>
      </w:r>
    </w:p>
    <w:p>
      <w:pPr>
        <w:spacing w:after="160" w:line="320"/>
        <w:jc w:val="both"/>
      </w:pPr>
      <w:r>
        <w:rPr>
          <w:rFonts w:ascii="Nobel" w:cs="Nobel" w:eastAsia="Nobel" w:hAnsi="Nobel"/>
          <w:b/>
          <w:bCs/>
          <w:sz w:val="22"/>
          <w:szCs w:val="22"/>
        </w:rPr>
        <w:t xml:space="preserve">Complex PTSD and ongoing trauma work. </w:t>
      </w:r>
      <w:r>
        <w:rPr>
          <w:rFonts w:ascii="Nobel" w:cs="Nobel" w:eastAsia="Nobel" w:hAnsi="Nobel"/>
          <w:sz w:val="22"/>
          <w:szCs w:val="22"/>
        </w:rPr>
        <w:t xml:space="preserve">Bilateral tapping and somatic practice within my scope are stabilising and resource focused, not full trauma processing. Where a client presents with complex PTSD, dissociative symptoms, or trauma that needs sustained clinical work, I refer to a UKCP or BACP registered trauma psychotherapist. I keep a small vetted list of specialists I trust, including a full protocol EMDR practitioner and an IFS therapist, so I can offer a warm handover rather than a Google search.</w:t>
      </w:r>
    </w:p>
    <w:p>
      <w:pPr>
        <w:spacing w:after="160" w:line="320"/>
        <w:jc w:val="both"/>
      </w:pPr>
      <w:r>
        <w:rPr>
          <w:rFonts w:ascii="Nobel" w:cs="Nobel" w:eastAsia="Nobel" w:hAnsi="Nobel"/>
          <w:b/>
          <w:bCs/>
          <w:sz w:val="22"/>
          <w:szCs w:val="22"/>
        </w:rPr>
        <w:t xml:space="preserve">Eating disorders and body image distress. </w:t>
      </w:r>
      <w:r>
        <w:rPr>
          <w:rFonts w:ascii="Nobel" w:cs="Nobel" w:eastAsia="Nobel" w:hAnsi="Nobel"/>
          <w:sz w:val="22"/>
          <w:szCs w:val="22"/>
        </w:rPr>
        <w:t xml:space="preserve">If a client discloses restriction, purging, binge patterns, or compulsive exercise, somatic coaching is contraindicated until they have specialist support. I refer to BEAT (beateatingdisorders.org.uk) and recommend their GP. I would not run nervous system work that includes body scanning or interoception with an active eating disorder, as it can be destabilising.</w:t>
      </w:r>
    </w:p>
    <w:p>
      <w:pPr>
        <w:spacing w:after="160" w:line="320"/>
        <w:jc w:val="both"/>
      </w:pPr>
      <w:r>
        <w:rPr>
          <w:rFonts w:ascii="Nobel" w:cs="Nobel" w:eastAsia="Nobel" w:hAnsi="Nobel"/>
          <w:b/>
          <w:bCs/>
          <w:sz w:val="22"/>
          <w:szCs w:val="22"/>
        </w:rPr>
        <w:t xml:space="preserve">Legal and financial matters. </w:t>
      </w:r>
      <w:r>
        <w:rPr>
          <w:rFonts w:ascii="Nobel" w:cs="Nobel" w:eastAsia="Nobel" w:hAnsi="Nobel"/>
          <w:sz w:val="22"/>
          <w:szCs w:val="22"/>
        </w:rPr>
        <w:t xml:space="preserve">Divorce, financial coercion, contested settlements, and child arrangements come up often in this population. When a client raises a legal question, I am clear that I cannot advise. I keep contact details for a family solicitor with experience of coercive control, a commercial solicitor, and StepChange debt charity, and I refer outward. If a client is in active legal proceedings, I will sometimes pause deeper trauma work, because litigation requires a particular kind of regulated cognitive load, and I prioritise stabilisation.</w:t>
      </w:r>
    </w:p>
    <w:p>
      <w:pPr>
        <w:spacing w:after="160" w:line="320"/>
        <w:jc w:val="both"/>
      </w:pPr>
      <w:r>
        <w:rPr>
          <w:rFonts w:ascii="Nobel" w:cs="Nobel" w:eastAsia="Nobel" w:hAnsi="Nobel"/>
          <w:b/>
          <w:bCs/>
          <w:sz w:val="22"/>
          <w:szCs w:val="22"/>
        </w:rPr>
        <w:t xml:space="preserve">Medical symptoms. </w:t>
      </w:r>
      <w:r>
        <w:rPr>
          <w:rFonts w:ascii="Nobel" w:cs="Nobel" w:eastAsia="Nobel" w:hAnsi="Nobel"/>
          <w:sz w:val="22"/>
          <w:szCs w:val="22"/>
        </w:rPr>
        <w:t xml:space="preserve">Chronic fatigue, unexplained pain, hormonal changes, or symptoms that may have a medical cause go to the GP first. Trauma and chronic stress can present in the body in ways that mimic or compound medical conditions, and the right answer is always: please get this checked. I do not work with clients who are using coaching to avoid medical investigation.</w:t>
      </w:r>
    </w:p>
    <w:p>
      <w:pPr>
        <w:spacing w:after="160" w:line="320"/>
        <w:jc w:val="both"/>
      </w:pPr>
      <w:r>
        <w:rPr>
          <w:rFonts w:ascii="Nobel" w:cs="Nobel" w:eastAsia="Nobel" w:hAnsi="Nobel"/>
          <w:b/>
          <w:bCs/>
          <w:sz w:val="22"/>
          <w:szCs w:val="22"/>
        </w:rPr>
        <w:t xml:space="preserve">Bereavement and grief. </w:t>
      </w:r>
      <w:r>
        <w:rPr>
          <w:rFonts w:ascii="Nobel" w:cs="Nobel" w:eastAsia="Nobel" w:hAnsi="Nobel"/>
          <w:sz w:val="22"/>
          <w:szCs w:val="22"/>
        </w:rPr>
        <w:t xml:space="preserve">For recent or complicated grief I refer to Cruse Bereavement Care, while continuing to hold somatic support alongside, with the client’s consent and the bereavement professional’s awareness. Where grief intersects with abuse (the death of an abuser, ambiguous grief over a relationship that should not have happened) I tread particularly carefully and often consult supervision.</w:t>
      </w:r>
    </w:p>
    <w:p>
      <w:pPr>
        <w:spacing w:after="160" w:line="320"/>
        <w:jc w:val="both"/>
      </w:pPr>
      <w:r>
        <w:rPr>
          <w:rFonts w:ascii="Nobel" w:cs="Nobel" w:eastAsia="Nobel" w:hAnsi="Nobel"/>
          <w:b/>
          <w:bCs/>
          <w:sz w:val="22"/>
          <w:szCs w:val="22"/>
        </w:rPr>
        <w:t xml:space="preserve">Safeguarding of children. </w:t>
      </w:r>
      <w:r>
        <w:rPr>
          <w:rFonts w:ascii="Nobel" w:cs="Nobel" w:eastAsia="Nobel" w:hAnsi="Nobel"/>
          <w:sz w:val="22"/>
          <w:szCs w:val="22"/>
        </w:rPr>
        <w:t xml:space="preserve">If a disclosure suggests a child is at risk, I follow safeguarding protocol. This is non negotiable and named clearly in my client agreement.</w:t>
      </w:r>
    </w:p>
    <w:p>
      <w:pPr>
        <w:pStyle w:val="Heading2"/>
      </w:pPr>
      <w:r>
        <w:rPr>
          <w:rFonts w:ascii="Nobel" w:cs="Nobel" w:eastAsia="Nobel" w:hAnsi="Nobel"/>
          <w:b/>
          <w:bCs/>
          <w:color w:val="4A2D8A"/>
          <w:sz w:val="24"/>
          <w:szCs w:val="24"/>
        </w:rPr>
        <w:t xml:space="preserve">Implementation in my business</w:t>
      </w:r>
    </w:p>
    <w:p>
      <w:pPr>
        <w:spacing w:after="160" w:line="320"/>
        <w:jc w:val="both"/>
      </w:pPr>
      <w:r>
        <w:rPr>
          <w:rFonts w:ascii="Nobel" w:cs="Nobel" w:eastAsia="Nobel" w:hAnsi="Nobel"/>
          <w:b/>
          <w:bCs/>
          <w:sz w:val="22"/>
          <w:szCs w:val="22"/>
        </w:rPr>
        <w:t xml:space="preserve">Intake. </w:t>
      </w:r>
      <w:r>
        <w:rPr>
          <w:rFonts w:ascii="Nobel" w:cs="Nobel" w:eastAsia="Nobel" w:hAnsi="Nobel"/>
          <w:sz w:val="22"/>
          <w:szCs w:val="22"/>
        </w:rPr>
        <w:t xml:space="preserve">My onboarding form includes screening questions on current mental health support, medication, recent crisis, current safety, and any active therapy. This is not to gatekeep but to contract clearly.</w:t>
      </w:r>
    </w:p>
    <w:p>
      <w:pPr>
        <w:spacing w:after="160" w:line="320"/>
        <w:jc w:val="both"/>
      </w:pPr>
      <w:r>
        <w:rPr>
          <w:rFonts w:ascii="Nobel" w:cs="Nobel" w:eastAsia="Nobel" w:hAnsi="Nobel"/>
          <w:b/>
          <w:bCs/>
          <w:sz w:val="22"/>
          <w:szCs w:val="22"/>
        </w:rPr>
        <w:t xml:space="preserve">Contracting. </w:t>
      </w:r>
      <w:r>
        <w:rPr>
          <w:rFonts w:ascii="Nobel" w:cs="Nobel" w:eastAsia="Nobel" w:hAnsi="Nobel"/>
          <w:sz w:val="22"/>
          <w:szCs w:val="22"/>
        </w:rPr>
        <w:t xml:space="preserve">My coaching agreement names what coaching is and is not, when I refer, what happens if a client moves into clinical territory mid programme, and my safeguarding obligations.</w:t>
      </w:r>
    </w:p>
    <w:p>
      <w:pPr>
        <w:spacing w:after="160" w:line="320"/>
        <w:jc w:val="both"/>
      </w:pPr>
      <w:r>
        <w:rPr>
          <w:rFonts w:ascii="Nobel" w:cs="Nobel" w:eastAsia="Nobel" w:hAnsi="Nobel"/>
          <w:b/>
          <w:bCs/>
          <w:sz w:val="22"/>
          <w:szCs w:val="22"/>
        </w:rPr>
        <w:t xml:space="preserve">Referral list. </w:t>
      </w:r>
      <w:r>
        <w:rPr>
          <w:rFonts w:ascii="Nobel" w:cs="Nobel" w:eastAsia="Nobel" w:hAnsi="Nobel"/>
          <w:sz w:val="22"/>
          <w:szCs w:val="22"/>
        </w:rPr>
        <w:t xml:space="preserve">I maintain a live document of vetted practitioners across psychotherapy, EMDR, IFS, psychiatric assessment, eating disorders, domestic abuse, legal (with coercive control experience), financial, and grief. I update it twice a year and check practitioners are still taking referrals.</w:t>
      </w:r>
    </w:p>
    <w:p>
      <w:pPr>
        <w:spacing w:after="160" w:line="320"/>
        <w:jc w:val="both"/>
      </w:pPr>
      <w:r>
        <w:rPr>
          <w:rFonts w:ascii="Nobel" w:cs="Nobel" w:eastAsia="Nobel" w:hAnsi="Nobel"/>
          <w:b/>
          <w:bCs/>
          <w:sz w:val="22"/>
          <w:szCs w:val="22"/>
        </w:rPr>
        <w:t xml:space="preserve">Collaboration. </w:t>
      </w:r>
      <w:r>
        <w:rPr>
          <w:rFonts w:ascii="Nobel" w:cs="Nobel" w:eastAsia="Nobel" w:hAnsi="Nobel"/>
          <w:sz w:val="22"/>
          <w:szCs w:val="22"/>
        </w:rPr>
        <w:t xml:space="preserve">Where a client is already in therapy or working with a domestic abuse advocate, I ask for permission to liaise on scope and timing, particularly around any somatic activation between sessions. I never work in competition with another professional. Parallel work can be powerful when communication is open.</w:t>
      </w:r>
    </w:p>
    <w:p>
      <w:pPr>
        <w:spacing w:after="160" w:line="320"/>
        <w:jc w:val="both"/>
      </w:pPr>
      <w:r>
        <w:rPr>
          <w:rFonts w:ascii="Nobel" w:cs="Nobel" w:eastAsia="Nobel" w:hAnsi="Nobel"/>
          <w:b/>
          <w:bCs/>
          <w:sz w:val="22"/>
          <w:szCs w:val="22"/>
        </w:rPr>
        <w:t xml:space="preserve">Supervision. </w:t>
      </w:r>
      <w:r>
        <w:rPr>
          <w:rFonts w:ascii="Nobel" w:cs="Nobel" w:eastAsia="Nobel" w:hAnsi="Nobel"/>
          <w:sz w:val="22"/>
          <w:szCs w:val="22"/>
        </w:rPr>
        <w:t xml:space="preserve">I attend monthly coaching supervision and bring referral decisions there. If I am uncertain whether something is in scope, I assume it is not, and I check.</w:t>
      </w:r>
    </w:p>
    <w:p>
      <w:pPr>
        <w:spacing w:after="160" w:line="320"/>
        <w:jc w:val="both"/>
      </w:pPr>
      <w:r>
        <w:rPr>
          <w:rFonts w:ascii="Nobel" w:cs="Nobel" w:eastAsia="Nobel" w:hAnsi="Nobel"/>
          <w:b/>
          <w:bCs/>
          <w:sz w:val="22"/>
          <w:szCs w:val="22"/>
        </w:rPr>
        <w:t xml:space="preserve">Aftercare. </w:t>
      </w:r>
      <w:r>
        <w:rPr>
          <w:rFonts w:ascii="Nobel" w:cs="Nobel" w:eastAsia="Nobel" w:hAnsi="Nobel"/>
          <w:sz w:val="22"/>
          <w:szCs w:val="22"/>
        </w:rPr>
        <w:t xml:space="preserve">When I refer out, I follow up gently to check the client has landed somewhere supportive. Referral is not abandonment.</w:t>
      </w:r>
    </w:p>
    <w:p>
      <w:pPr>
        <w:spacing w:after="160" w:line="320"/>
        <w:jc w:val="both"/>
      </w:pPr>
      <w:r>
        <w:rPr>
          <w:rFonts w:ascii="Nobel" w:cs="Nobel" w:eastAsia="Nobel" w:hAnsi="Nobel"/>
          <w:sz w:val="22"/>
          <w:szCs w:val="22"/>
        </w:rPr>
        <w:t xml:space="preserve">Awareness of my own limits is the most important professional asset I have. The clients I serve well are not the only clients who will arrive on my doorstep, and being honest about who I cannot help is part of being trustworthy to those I can.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bel" w:cs="Nobel" w:eastAsia="Nobel" w:hAnsi="Nobel"/>
        <w:i/>
        <w:iCs/>
        <w:color w:val="4A2D8A"/>
        <w:sz w:val="18"/>
        <w:szCs w:val="18"/>
      </w:rPr>
      <w:t xml:space="preserve">Anna Lou Wellness</w:t>
    </w:r>
    <w:r>
      <w:rPr>
        <w:rFonts w:ascii="Nobel" w:cs="Nobel" w:eastAsia="Nobel" w:hAnsi="Nobel"/>
        <w:color w:val="4A2D8A"/>
        <w:sz w:val="18"/>
        <w:szCs w:val="18"/>
      </w:rPr>
      <w:t xml:space="preserve">    |    </w:t>
    </w:r>
    <w:r>
      <w:rPr>
        <w:rFonts w:ascii="Nobel" w:cs="Nobel" w:eastAsia="Nobel" w:hAnsi="Nobel"/>
        <w:color w:val="4A2D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bel" w:cs="Nobel" w:eastAsia="Nobel" w:hAnsi="Nobe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Nobel" w:cs="Nobel" w:eastAsia="Nobel" w:hAnsi="Nobel"/>
      <w:b/>
      <w:bCs/>
      <w:color w:val="1E1040"/>
      <w:sz w:val="40"/>
      <w:szCs w:val="40"/>
    </w:rPr>
  </w:style>
  <w:style w:type="paragraph" w:styleId="Subtitle">
    <w:name w:val="Subtitle"/>
    <w:basedOn w:val="Normal"/>
    <w:next w:val="Normal"/>
    <w:qFormat/>
    <w:pPr>
      <w:spacing w:after="480" w:before="0"/>
      <w:jc w:val="center"/>
    </w:pPr>
    <w:rPr>
      <w:rFonts w:ascii="Nobel" w:cs="Nobel" w:eastAsia="Nobel" w:hAnsi="Nobel"/>
      <w:i/>
      <w:iCs/>
      <w:color w:val="4A2D8A"/>
      <w:sz w:val="22"/>
      <w:szCs w:val="22"/>
    </w:rPr>
  </w:style>
  <w:style w:type="paragraph" w:styleId="Heading1">
    <w:name w:val="Heading 1"/>
    <w:basedOn w:val="Normal"/>
    <w:next w:val="Normal"/>
    <w:qFormat/>
    <w:pPr>
      <w:spacing w:after="200" w:before="360"/>
      <w:outlineLvl w:val="0"/>
    </w:pPr>
    <w:rPr>
      <w:rFonts w:ascii="Nobel" w:cs="Nobel" w:eastAsia="Nobel" w:hAnsi="Nobel"/>
      <w:b/>
      <w:bCs/>
      <w:color w:val="1E1040"/>
      <w:sz w:val="32"/>
      <w:szCs w:val="32"/>
    </w:rPr>
  </w:style>
  <w:style w:type="paragraph" w:styleId="Heading2">
    <w:name w:val="Heading 2"/>
    <w:basedOn w:val="Normal"/>
    <w:next w:val="Normal"/>
    <w:qFormat/>
    <w:pPr>
      <w:spacing w:after="140" w:before="240"/>
      <w:outlineLvl w:val="1"/>
    </w:pPr>
    <w:rPr>
      <w:rFonts w:ascii="Nobel" w:cs="Nobel" w:eastAsia="Nobel" w:hAnsi="Nobel"/>
      <w:b/>
      <w:bCs/>
      <w:color w:val="4A2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Coaching Mission Statement and Referral Framework</dc:title>
  <dc:creator>Anna Lou Scaife</dc:creator>
  <cp:lastModifiedBy>Un-named</cp:lastModifiedBy>
  <cp:revision>1</cp:revision>
  <dcterms:created xsi:type="dcterms:W3CDTF">2026-05-26T08:53:55.066Z</dcterms:created>
  <dcterms:modified xsi:type="dcterms:W3CDTF">2026-05-26T08:53:55.083Z</dcterms:modified>
</cp:coreProperties>
</file>

<file path=docProps/custom.xml><?xml version="1.0" encoding="utf-8"?>
<Properties xmlns="http://schemas.openxmlformats.org/officeDocument/2006/custom-properties" xmlns:vt="http://schemas.openxmlformats.org/officeDocument/2006/docPropsVTypes"/>
</file>