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MicroStrategy Admin Support Chatbot</w:t>
        <w:br/>
        <w:t>Benefits Brief</w:t>
      </w:r>
    </w:p>
    <w:p>
      <w:pPr>
        <w:jc w:val="center"/>
      </w:pPr>
      <w:r>
        <w:rPr>
          <w:sz w:val="21"/>
        </w:rPr>
        <w:t>Prepared for: Product Owner and Leadership</w:t>
        <w:br/>
        <w:t>Date: December 15, 2025</w:t>
      </w:r>
    </w:p>
    <w:p/>
    <w:p>
      <w:pPr>
        <w:pStyle w:val="Heading1"/>
      </w:pPr>
      <w:r>
        <w:t>Executive summary</w:t>
      </w:r>
    </w:p>
    <w:p>
      <w:pPr>
        <w:spacing w:after="120"/>
      </w:pPr>
      <w:r>
        <w:t>This document outlines the intended value of a MicroStrategy Admin Support Chatbot concept. The solution is designed to automate high-frequency administrative workflows through MicroStrategy REST APIs, with a guided user interface and template-driven inputs. The goal is to reduce manual effort, improve execution consistency, and shorten turnaround time for routine admin and release activities.</w:t>
      </w:r>
    </w:p>
    <w:p>
      <w:r>
        <w:rPr>
          <w:i/>
          <w:sz w:val="20"/>
        </w:rPr>
        <w:t>Note: This is a directional product brief. It does not represent a delivery commitment, timeline, or guaranteed savings.</w:t>
      </w:r>
    </w:p>
    <w:p>
      <w:pPr>
        <w:pStyle w:val="Heading1"/>
      </w:pPr>
      <w:r>
        <w:t>Product concept</w:t>
      </w:r>
    </w:p>
    <w:p>
      <w:r>
        <w:t>A lightweight web-based assistant for MicroStrategy administrators with four primary modules. Each module orchestrates a set of REST API calls and provides status, error feedback, and standardized inputs.</w:t>
      </w:r>
    </w:p>
    <w:p>
      <w:pPr>
        <w:pStyle w:val="Heading2"/>
      </w:pPr>
      <w:r>
        <w:t>Primary modules</w:t>
      </w:r>
    </w:p>
    <w:tbl>
      <w:tblPr>
        <w:tblW w:type="auto" w:w="0"/>
        <w:tblLook w:firstColumn="1" w:firstRow="1" w:lastColumn="0" w:lastRow="0" w:noHBand="0" w:noVBand="1" w:val="04A0"/>
      </w:tblPr>
      <w:tblGrid>
        <w:gridCol w:w="4824"/>
        <w:gridCol w:w="4824"/>
      </w:tblGrid>
      <w:tr>
        <w:tc>
          <w:tcPr>
            <w:tcW w:type="dxa" w:w="4824"/>
          </w:tcPr>
          <w:p>
            <w:r>
              <w:t>Module</w:t>
            </w:r>
          </w:p>
        </w:tc>
        <w:tc>
          <w:tcPr>
            <w:tcW w:type="dxa" w:w="4824"/>
          </w:tcPr>
          <w:p>
            <w:r>
              <w:t>What it enables (high level)</w:t>
            </w:r>
          </w:p>
        </w:tc>
      </w:tr>
      <w:tr>
        <w:tc>
          <w:tcPr>
            <w:tcW w:type="dxa" w:w="4824"/>
          </w:tcPr>
          <w:p>
            <w:r>
              <w:t>Cube operations</w:t>
            </w:r>
          </w:p>
        </w:tc>
        <w:tc>
          <w:tcPr>
            <w:tcW w:type="dxa" w:w="4824"/>
          </w:tcPr>
          <w:p>
            <w:r>
              <w:t>Search cubes across projects, publish a cube, and run/monitor cube-related actions with clear status feedback.</w:t>
            </w:r>
          </w:p>
        </w:tc>
      </w:tr>
      <w:tr>
        <w:tc>
          <w:tcPr>
            <w:tcW w:type="dxa" w:w="4824"/>
          </w:tcPr>
          <w:p>
            <w:r>
              <w:t>Attribute creation</w:t>
            </w:r>
          </w:p>
        </w:tc>
        <w:tc>
          <w:tcPr>
            <w:tcW w:type="dxa" w:w="4824"/>
          </w:tcPr>
          <w:p>
            <w:r>
              <w:t>Bulk-create attributes using a standard template so payloads are consistent and repeatable.</w:t>
            </w:r>
          </w:p>
        </w:tc>
      </w:tr>
      <w:tr>
        <w:tc>
          <w:tcPr>
            <w:tcW w:type="dxa" w:w="4824"/>
          </w:tcPr>
          <w:p>
            <w:r>
              <w:t>Fact and metric creation</w:t>
            </w:r>
          </w:p>
        </w:tc>
        <w:tc>
          <w:tcPr>
            <w:tcW w:type="dxa" w:w="4824"/>
          </w:tcPr>
          <w:p>
            <w:r>
              <w:t>Bulk-create facts and metrics using templates; reduce repetitive manual modeling actions.</w:t>
            </w:r>
          </w:p>
        </w:tc>
      </w:tr>
      <w:tr>
        <w:tc>
          <w:tcPr>
            <w:tcW w:type="dxa" w:w="4824"/>
          </w:tcPr>
          <w:p>
            <w:r>
              <w:t>Deployment</w:t>
            </w:r>
          </w:p>
        </w:tc>
        <w:tc>
          <w:tcPr>
            <w:tcW w:type="dxa" w:w="4824"/>
          </w:tcPr>
          <w:p>
            <w:r>
              <w:t>Package-based migration of objects between environments with optional dependents and consistent conflict-handling rules.</w:t>
            </w:r>
          </w:p>
        </w:tc>
      </w:tr>
    </w:tbl>
    <w:p>
      <w:pPr>
        <w:pStyle w:val="Heading1"/>
      </w:pPr>
      <w:r>
        <w:t>Expected benefits</w:t>
      </w:r>
    </w:p>
    <w:p>
      <w:pPr>
        <w:pStyle w:val="Heading2"/>
      </w:pPr>
      <w:r>
        <w:t>1) Time savings</w:t>
      </w:r>
    </w:p>
    <w:p>
      <w:r>
        <w:t>By automating routine sequences (searching objects, publishing, model creation, and packaging for deployment), the bot can reduce the time spent on repetitive UI-driven steps. This is particularly helpful when the same action must be repeated across multiple projects or environments.</w:t>
      </w:r>
    </w:p>
    <w:p>
      <w:pPr>
        <w:pStyle w:val="Heading2"/>
      </w:pPr>
      <w:r>
        <w:t>2) Reduced manual effort and fewer handoffs</w:t>
      </w:r>
    </w:p>
    <w:p>
      <w:r>
        <w:t>The assistant standardizes inputs (project, folder, object identifiers, templates, dependents flags) and centralizes execution. This can reduce back-and-forth between developers and administrators for clarifications such as correct IDs, project context, and payload formatting.</w:t>
      </w:r>
    </w:p>
    <w:p>
      <w:pPr>
        <w:pStyle w:val="Heading2"/>
      </w:pPr>
      <w:r>
        <w:t>3) Improved productivity and throughput</w:t>
      </w:r>
    </w:p>
    <w:p>
      <w:r>
        <w:t>Template-driven bulk creation enables administrators to process multiple objects in a single run, which can improve throughput during migrations, new project onboarding, or large modeling updates. Built-in job/status visibility helps reduce time spent manually checking progress.</w:t>
      </w:r>
    </w:p>
    <w:p>
      <w:pPr>
        <w:pStyle w:val="Heading2"/>
      </w:pPr>
      <w:r>
        <w:t>4) Cost avoidance through consistency</w:t>
      </w:r>
    </w:p>
    <w:p>
      <w:r>
        <w:t>Standardized execution and reduced manual steps can help lower the probability of human error (wrong project, wrong object, incomplete dependency selection, inconsistent payloads). Fewer errors typically translates to less rework, fewer re-deploy cycles, and reduced operational disruption.</w:t>
      </w:r>
    </w:p>
    <w:p>
      <w:pPr>
        <w:pStyle w:val="Heading1"/>
      </w:pPr>
      <w:r>
        <w:t>How value could be measured</w:t>
      </w:r>
    </w:p>
    <w:p>
      <w:r>
        <w:t>If adopted, impact can be tracked using simple operational metrics such as:</w:t>
      </w:r>
    </w:p>
    <w:p>
      <w:pPr>
        <w:pStyle w:val="ListBullet"/>
      </w:pPr>
      <w:r>
        <w:t>Average cycle time per admin request (before vs. after).</w:t>
      </w:r>
    </w:p>
    <w:p>
      <w:pPr>
        <w:pStyle w:val="ListBullet"/>
      </w:pPr>
      <w:r>
        <w:t>Number of admin requests completed per week per administrator.</w:t>
      </w:r>
    </w:p>
    <w:p>
      <w:pPr>
        <w:pStyle w:val="ListBullet"/>
      </w:pPr>
      <w:r>
        <w:t>Deployment rework rate (failed deployments, rollbacks, or repeated promotions).</w:t>
      </w:r>
    </w:p>
    <w:p>
      <w:pPr>
        <w:pStyle w:val="ListBullet"/>
      </w:pPr>
      <w:r>
        <w:t>Mean time to identify correct object ID/project context for cube-related requests.</w:t>
      </w:r>
    </w:p>
    <w:p>
      <w:pPr>
        <w:pStyle w:val="ListBullet"/>
      </w:pPr>
      <w:r>
        <w:t>Support ticket volume related to routine admin tasks.</w:t>
      </w:r>
    </w:p>
    <w:p>
      <w:pPr>
        <w:pStyle w:val="Heading1"/>
      </w:pPr>
      <w:r>
        <w:t>Controls, governance, and risk considerations</w:t>
      </w:r>
    </w:p>
    <w:p>
      <w:r>
        <w:t>To align with enterprise controls, the bot can be implemented with guardrails such as environment allowlists, role-based access, explicit confirmations for production-impacting actions, and detailed audit logs of API requests and outcomes.</w:t>
      </w:r>
    </w:p>
    <w:p>
      <w:pPr>
        <w:pStyle w:val="Heading1"/>
      </w:pPr>
      <w:r>
        <w:t>Non-commitments and assumptions</w:t>
      </w:r>
    </w:p>
    <w:p>
      <w:r>
        <w:t>This brief is based on the following assumptions and does not guarantee outcomes:</w:t>
      </w:r>
    </w:p>
    <w:p>
      <w:pPr>
        <w:pStyle w:val="ListBullet"/>
      </w:pPr>
      <w:r>
        <w:t>MicroStrategy REST API availability and required entitlements are in place for the target environments.</w:t>
      </w:r>
    </w:p>
    <w:p>
      <w:pPr>
        <w:pStyle w:val="ListBullet"/>
      </w:pPr>
      <w:r>
        <w:t>Service accounts/credentials and network access are approved and managed by standard security processes.</w:t>
      </w:r>
    </w:p>
    <w:p>
      <w:pPr>
        <w:pStyle w:val="ListBullet"/>
      </w:pPr>
      <w:r>
        <w:t>Final performance and time savings depend on request volume, environment complexity, and operational adoption.</w:t>
      </w:r>
    </w:p>
    <w:p>
      <w:r>
        <w:t>No commitments are made in this document regarding delivery dates, exact feature scope, or quantified savings. Any estimates should be validated through a time-boxed proof of concept and pilot usage.</w:t>
      </w:r>
    </w:p>
    <w:p>
      <w:pPr>
        <w:pStyle w:val="Heading1"/>
      </w:pPr>
      <w:r>
        <w:t>Suggested next steps</w:t>
      </w:r>
    </w:p>
    <w:p>
      <w:pPr>
        <w:pStyle w:val="ListNumber"/>
      </w:pPr>
      <w:r>
        <w:t>Confirm priority workflows and environments (DEV, TEST, PROD) to include in the initial pilot.</w:t>
      </w:r>
    </w:p>
    <w:p>
      <w:pPr>
        <w:pStyle w:val="ListNumber"/>
      </w:pPr>
      <w:r>
        <w:t>Finalize the input templates (attributes, facts, metrics) and define required validation rules.</w:t>
      </w:r>
    </w:p>
    <w:p>
      <w:pPr>
        <w:pStyle w:val="ListNumber"/>
      </w:pPr>
      <w:r>
        <w:t>Run a controlled proof of concept with a limited set of admin users and capture baseline vs. post-pilot metrics.</w:t>
      </w:r>
    </w:p>
    <w:p>
      <w:pPr>
        <w:pStyle w:val="ListNumber"/>
      </w:pPr>
      <w:r>
        <w:t>Review security posture (credential handling, logging, access control) and align with platform standards.</w:t>
      </w:r>
    </w:p>
    <w:p/>
    <w:p>
      <w:r>
        <w:rPr>
          <w:i/>
          <w:sz w:val="18"/>
        </w:rPr>
        <w:t>Prepared as a leadership-oriented overview of a proposed automation capability for MicroStrategy administration.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