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Strategy AI BOT Framework</w:t>
      </w:r>
    </w:p>
    <w:p>
      <w:pPr>
        <w:spacing w:after="200"/>
        <w:jc w:val="center"/>
      </w:pPr>
      <w:r>
        <w:rPr>
          <w:color w:val="444444"/>
          <w:sz w:val="32"/>
          <w:szCs w:val="32"/>
        </w:rPr>
        <w:t xml:space="preserve">Solution Architecture on AWS — Companion Design Document (v3)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Direct Bedrock Converse · MCP Tool Layer · Identity &amp; Audit Correlation · HITL Governance</w:t>
      </w:r>
    </w:p>
    <w:p>
      <w:pPr>
        <w:jc w:val="center"/>
      </w:pPr>
      <w:r>
        <w:rPr>
          <w:color w:val="666666"/>
          <w:sz w:val="20"/>
          <w:szCs w:val="20"/>
        </w:rPr>
        <w:t xml:space="preserve">Status: FINAL v3 — approved services only  |  August 2026</w:t>
      </w:r>
    </w:p>
    <w:p>
      <w:r>
        <w:br w:type="page"/>
      </w:r>
    </w:p>
    <w:p>
      <w:pPr>
        <w:pStyle w:val="Heading1"/>
        <w:spacing w:after="120" w:before="30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t xml:space="preserve">1. Purpose and 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accompanies the FINAL v3 draw.io architecture diagram for the Strategy AI BOT Framework — a conversational MicroStrategy administration assistant built exclusively on approved AWS services. It records the design decisions, the identity-to-service-account audit correlation model, MCP tool coverage against the MicroStrategy REST API, human-in-the-loop (HITL) governance, failure handling, security posture, cost/scale guards, and the accepted-risk register.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Audience: architecture review board, security review, platform engineering, and AWS solution architects. All names, accounts, and credentials in this document are placeholders per convention (e.g., service_account_placeholder). Base URLs terminate at /MicroStrategyLibrarySTD.</w:t>
      </w:r>
    </w:p>
    <w:p>
      <w:pPr>
        <w:pStyle w:val="Heading1"/>
        <w:spacing w:after="120" w:before="300"/>
      </w:pPr>
      <w:r>
        <w:t xml:space="preserve">2. Key Architecture Decisions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300"/>
      </w:tblGrid>
      <w:t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5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Bedrock Converse API; no Bedrock Agents service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MCP tools integrate natively into a self-owned agent loop; circuit breaker and HITL gates require intercepting every tool call, which is trivial when the loop is application code. Removes the Bedrock-to-MCP bridge component entirely.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ElastiCache removed; live job status in RDS job_status table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an approved service; RDS already carries OLTP load and eliminates a component. AWAITING_APPROVAL state added for HITL.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Lake track (S3/Athena/QuickSight) removed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Descoped by client decision. A single transient S3 bucket (24h lifecycle) is retained solely for binary export artifacts — not analytics.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retrieval via RDS pgvector, queried by the worker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Bedrock Knowledge Base service needed; worker injects retrieved context into the prompt directly. One less managed service and IAM surface.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account credentials in Secrets Manager, fetched via IRSA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Credentials never live in pod environment or images; rotation supported; access scoped per pod service account.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EventBridge Scheduler triggers the nightly EKS batch pod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Resolves earlier CronJob/EventBridge label ambiguity: EventBridge is the trigger of record; the pod is a plain batch workload.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Application-side audit table is the system of record for attribution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MicroStrategy logs only ever show the service account. The RDS audit table carries the user-to-call linkage; MSTR Enterprise Manager logs are joined offline via service account + timestamp + jobId.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3. Identity and Audit Correlation (Critical Design)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Problem statement: users authenticate as themselves (Okta OIDC), but every MicroStrategy REST call is executed under a shared, high-privilege service account. Without an explicit correlation design, no one can answer “which human caused this API call” — a compliance and security failure for an admin-capable bot.</w:t>
      </w:r>
    </w:p>
    <w:p>
      <w:pPr>
        <w:pStyle w:val="Heading2"/>
        <w:spacing w:after="100" w:before="240"/>
      </w:pPr>
      <w:r>
        <w:t xml:space="preserve">3.1 The identity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1–2: ALB (Okta OIDC built-in) validates the user; the JWT carries sub and email into the FastAPI pod. RBAC is enforced per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3: FastAPI creates the session record in RDS: user_id, session_id, chat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5: for each admin action, FastAPI mints a correlation_id and enqueues the SQS message with attributes {user_id, session_id, correlation_id}. Identity travels with the job — it is never inferred downstream.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12: the worker writes one audit row per MSTR REST call, capturing the identifiers MicroStrategy returns (jobId, instanceId, transaction ids) verbatim.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Step 19: offline join — the audit table matches MSTR Enterprise Manager / platform log entries on service account + timestamp window + jobId.</w:t>
      </w:r>
    </w:p>
    <w:p>
      <w:pPr>
        <w:pStyle w:val="Heading2"/>
        <w:spacing w:after="100" w:before="240"/>
      </w:pPr>
      <w:r>
        <w:t xml:space="preserve">3.2 Audit table schema (system of record)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bigserial PK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 identity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correlation_id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Minted per user action; indexed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 / user_email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From OIDC JWT — the human principal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session linkage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tool_name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MCP tool invoked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mstr_endpoint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Path only, base stops at /MicroStrategyLibrarySTD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mstr_job_id / instance_id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Returned by MicroStrategy — the join key to vendor logs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request_summary / response_code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/ int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payload bodies; summaries only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image_sha256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null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 of any user-uploaded image tied to this action (image itself never persisted)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approver_id / approved_at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/ timestamptz null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Populated only for HITL-gated actions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started_at / finished_at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 window for the vendor-log join</w:t>
            </w:r>
          </w:p>
        </w:tc>
      </w:tr>
    </w:tbl>
    <w:p>
      <w:pPr>
        <w:pStyle w:val="Heading2"/>
        <w:spacing w:after="100" w:before="240"/>
      </w:pPr>
      <w:r>
        <w:t xml:space="preserve">3.3 Vendor-log join procedure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Given an audit row, the matching MSTR Enterprise Manager entry is located by: (a) service account principal, (b) timestamp within [started_at − skew, finished_at + skew], (c) jobId/instanceId equality where the vendor log exposes it. Clock skew tolerance of ±2 minutes is assumed; NTP alignment on the worker is required. This procedure is documented as a runbook so security can execute it without engineering support.</w:t>
      </w:r>
    </w:p>
    <w:p>
      <w:pPr>
        <w:pStyle w:val="Heading2"/>
        <w:spacing w:after="100" w:before="240"/>
      </w:pPr>
      <w:r>
        <w:t xml:space="preserve">3.4 Non-goals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MicroStrategy impersonation/delegated identity was evaluated and rejected: it would require per-user MSTR accounts and trust configuration with the vendor SaaS, multiplying the credential surface. The application-side audit model achieves per-call human attribution without changing the vendor trust model.</w:t>
      </w:r>
    </w:p>
    <w:p>
      <w:pPr>
        <w:pStyle w:val="Heading1"/>
        <w:spacing w:after="120" w:before="300"/>
      </w:pPr>
      <w:r>
        <w:t xml:space="preserve">4. Binary and Image Handling</w:t>
      </w:r>
    </w:p>
    <w:p>
      <w:pPr>
        <w:pStyle w:val="Heading2"/>
        <w:spacing w:after="100" w:before="240"/>
      </w:pPr>
      <w:r>
        <w:t xml:space="preserve">4.1 User-uploaded images (e.g., dashboard-access screenshots)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Images under 3.75 MB are passed inline as base64 content blocks in the Bedrock Converse request. Claude Sonnet reads them natively — no OCR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Ephemeral by design: the image is held in FastAPI memory for the duration of the call and never persisted. Only the SHA-256 hash is written to the audit table. Rationale: screenshots may contain client data; not storing them is the stronger security posture.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Oversized images are rejected with a user-facing message to crop/re-capture.</w:t>
      </w:r>
    </w:p>
    <w:p>
      <w:pPr>
        <w:pStyle w:val="Heading2"/>
        <w:spacing w:after="100" w:before="240"/>
      </w:pPr>
      <w:r>
        <w:t xml:space="preserve">4.2 Export artifacts (dossier PDF/XLSX, migration .mmp packages)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Worker streams binaries to the transient S3 bucket: SSE-KMS encryption, 24-hour lifecycle expiry, bucket policy denying public access, access restricted to the worker and FastAPI IRSA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user receives a presigned GET URL (15-minute expiry) via the job result. Binaries never touch 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is the only S3 usage in the architecture; it is transient storage, not the descoped analytics lake.</w:t>
      </w:r>
    </w:p>
    <w:p>
      <w:pPr>
        <w:pStyle w:val="Heading1"/>
        <w:spacing w:after="120" w:before="300"/>
      </w:pPr>
      <w:r>
        <w:t xml:space="preserve">5. Human-in-the-Loop Approval Design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HITL is the framework’s core governance claim and is drawn explicitly in v3 (steps 20–22).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Destructive-tool allowlist: delete user/group, drop or move objects, ownership transfer, ACL mutation, subscription deletion, schema changeset commit, cube unpublish. The allowlist lives in configuration, not in any tool — no tool can alter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Flow: when the agent loop selects an allowlisted tool, the worker pauses, writes job_status = AWAITING_APPROVAL with the fully-resolved proposed action payload (exact object, exact change), and stops consuming iterations.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FastAPI UI renders an approval card. The decision and approver identity are written to an approvals table in RDS; the worker resumes only on a recorded approval and stamps approver_id into the audit row. Rejection ends the loop gracefully with an explanation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Approvals expire: an action awaiting approval for more than 24 hours is auto-rejected to avoid stale executions against a changed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Read-only diagnostic tools (ACL inspection, privilege resolution, object search, status checks) carry no gate and may run fully autonomously — these are the recommended first-wave tools and the ideal demo path (screenshot-to-diagnosis).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6. MicroStrategy REST API Coverage Model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Architecture coverage is assessed by call pattern, not by endpoint count. Every MSTR REST endpoint falls into one of five patterns, and each pattern has a defined path through the architecture. Tool inventory completeness is a separate audit tracked against this model.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Call pattern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Architecture path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synchronous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info, user lookup, list subscriptions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executes inline within the agent loop; single audit row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Asynchronous / long-running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Cube publish, metadataSearches (two-step), subscription execution, report instances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SQS job + worker long-poll + job_status progress; ERR009 re-auth mid-poll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Transactional multi-step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changesets (create → modify → commit)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Wrapped as ONE MCP tool encapsulating the full sequence with rollback on failure — raw changeset steps are never exposed as separate tools to prevent orphaned changesets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 / streaming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Dossier PDF/XLSX export, .mmp download/upload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↔ transient S3 (steps 23–24); presigned URL to user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Destructive / privileged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Delete, ownership transfer, ACL change, changeset commit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HITL gate (steps 20–22) + approver stamped in audit row</w:t>
            </w:r>
          </w:p>
        </w:tc>
      </w:tr>
    </w:tbl>
    <w:p>
      <w:pPr>
        <w:pStyle w:val="Heading2"/>
        <w:spacing w:after="100" w:before="240"/>
      </w:pPr>
      <w:r>
        <w:t xml:space="preserve">6.1 Session and response-shape conventions (binding on every tool)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requests.Session() for all calls — login sets both X-MSTR-AuthToken and cookies; bare requests drop cookies and cause ERR009.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Login mode 1 (standard); logout in a finally block; verify=False with urllib3 warnings suppressed per environment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metadataSearches two-step: POST to initiate, extract searchId (check both “id” and “searchId” keys), then GET results with searchId — never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Dual response shapes handled everywhere: dict with “result”/“totalItems” OR bare list. Pagination via offset/limit until totalItems reached.</w:t>
      </w:r>
    </w:p>
    <w:p>
      <w:pPr>
        <w:pStyle w:val="Heading2"/>
        <w:spacing w:after="100" w:before="240"/>
      </w:pPr>
      <w:r>
        <w:t xml:space="preserve">6.2 Known open items in tool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Read-only diagnostic set (ACL inspection, effective-privilege resolution, dependency chain) — required for the troubleshooting flow; safest to ship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Binary export tools — depend on the transient S3 bucket being provisioned.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formal endpoint-by-endpoint mapping of the 25+ existing tools against the API families (auth, browsing, cubes, reports, subscriptions, users/groups, security, schema, migration, monitoring) is the next audit deliverable.</w:t>
      </w:r>
    </w:p>
    <w:p>
      <w:pPr>
        <w:pStyle w:val="Heading1"/>
        <w:spacing w:after="120" w:before="300"/>
      </w:pPr>
      <w:r>
        <w:t xml:space="preserve">7. Failure Handling and 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SQS: maxReceiveCount = 3, then redrive to DLQ. DLQ depth &gt; 0 raises a CloudWatch alarm → SNS → on-call (step 25). DLQ messages retain identity attributes so failed jobs remain attributable.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Worker retries: exponential backoff on MSTR 5xx; ERR009 triggers one silent re-auth then retry; a second failure fails the job with a user-facing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Runaway-loop guard: hard cap of 15 agent iterations per job and a per-session Bedrock token budget. Breach fails the job explicitly — never silent truncation.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Circuit breaker (RAE ADR): worker reads the SSM Parameter Store flag before every tool call. Granularity: single agent → agent category → full subsystem. Tripping is a parameter write (no redeploy); every trip and reset is audit-logged with actor and reason. Breaker trips also alarm via SNS.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Poison approvals: HITL requests older than 24h auto-reject.</w:t>
      </w:r>
    </w:p>
    <w:p>
      <w:pPr>
        <w:pStyle w:val="Heading1"/>
        <w:spacing w:after="120" w:before="300"/>
      </w:pPr>
      <w:r>
        <w:t xml:space="preserve">8. Security Posture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Ingress: internal ALB only, Okta OIDC enforced at the edge; no public endpoints anywhere in the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Pod identity: IRSA per workload — FastAPI, worker, and batch pods have distinct, least-privilege IAM roles. Only the worker role can read the MSTR credential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Credentials: service_account_placeholder lives solely in Secrets Manager with rotation; cached in worker memory with TTL; never in environment variables, images, or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Egress: MSTR reachable only via PrivateLink through the central account firewall/IPS; no NAT path to the vendor.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Prompt-injection controls: MSTR object names/descriptions and user images are untrusted input to an LLM holding admin tools. Mitigations: strict tool allowlist (the model can only call registered tools), read-only default, HITL gate on all mutations, no tool capable of modifying the allowlist or breaker configuration, and tool inputs validated against schemas before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 minimization: no request/response bodies in audit logs (summaries only); images never persisted; export artifacts expire in 24h.</w:t>
      </w:r>
    </w:p>
    <w:p>
      <w:pPr>
        <w:pStyle w:val="Heading1"/>
        <w:spacing w:after="120" w:before="300"/>
      </w:pPr>
      <w:r>
        <w:t xml:space="preserve">9. Scaling and Cost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Worker concurrency cap: N = 4 concurrent MSTR sessions (tunable via Parameter Store) protects the vendor instance from tool-storm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Bedrock spend: per-session token budget plus the 15-iteration cap bounds worst-case cost per user action; CloudWatch metric on tokens/session with an anomaly alarm.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RDS: single Multi-AZ instance carries OLTP + pgvector + pg_cron MV refreshes. Accepted at current scale with Performance Insights monitoring; the documented escape hatch is a read replica for vector/read traffic — no re-architecture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EKS: worker pod HPA on SQS queue depth; FastAPI HPA on CPU/requests.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10. Accepted Risk Register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800"/>
      </w:tblGrid>
      <w:t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4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Controls / acceptance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Single-region deployment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 for an internal admin tool. RDS Multi-AZ; IaC redeploy runbook. RTO 4h / RPO 15m via automated backups.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 via MSTR metadata or user images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 allowlist, read-only default, HITL on all mutations, schema validation, no self-modifying configuration.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Runaway agent loop (cost / vendor load)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15-iteration cap, per-session token budget, circuit breaker pre-call check, concurrency cap N=4.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 MSTR overload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Concurrency cap + exponential backoff on 5xx; breaker can isolate the MSTR tool category instantly.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Mixed RDS workload contention (OLTP + pgvector + pg_cron)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 at current scale; Performance Insights watch; read-replica escape hatch documented.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Screenshots may contain client data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Images ephemeral (in-memory → Converse), never persisted; SHA-256 hash only in audit.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high-privilege service account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Manager + rotation, IRSA-scoped read, and full per-call human attribution via the audit table — the residual risk is credential compromise, mitigated by rotation and PrivateLink-only egress.</w:t>
            </w:r>
          </w:p>
        </w:tc>
      </w:tr>
    </w:tbl>
    <w:p>
      <w:pPr>
        <w:pStyle w:val="Heading1"/>
        <w:spacing w:after="120" w:before="300"/>
      </w:pPr>
      <w:r>
        <w:t xml:space="preserve">11. 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Transient S3 bucket approval: required for the binary/export flow (steps 23–24). If S3 cannot be approved even as transient storage, the fallback is small-file streaming through FastAPI with a hard size cap — degraded but workable.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Tool inventory audit: endpoint-by-endpoint mapping of existing MCP tools against the API family model in Section 6 — identifies gaps before claiming full admin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Approval quorum: current design is single-approver (the requesting admin’s manager or a peer admin). Decide whether ownership transfers and deletions require two approvers.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Managed-agent revisit trigger: if the platform later standardizes on a managed agent runtime (e.g., AgentCore) for multi-agent estates, this framework’s loop is deliberately thin enough to migrate — the MCP tools, audit model, and HITL design all carry over unchanged. This is the documented escape hatch from decision D1.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Strategy AI BOT Framework — Companion Design Document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2026-08-11T19:10:50.189Z</dcterms:created>
  <dcterms:modified xsi:type="dcterms:W3CDTF">2026-08-11T19:10:50.204Z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