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color w:val="1A478A"/>
          <w:sz w:val="56"/>
        </w:rPr>
        <w:t>دليل المستخدم</w:t>
      </w:r>
    </w:p>
    <w:p>
      <w:pPr>
        <w:bidi/>
        <w:jc w:val="center"/>
      </w:pPr>
      <w:r>
        <w:rPr>
          <w:b/>
          <w:color w:val="2B5C9E"/>
          <w:sz w:val="36"/>
        </w:rPr>
        <w:t>MS Sale Order Remote Sync</w:t>
      </w:r>
    </w:p>
    <w:p>
      <w:pPr>
        <w:bidi/>
        <w:jc w:val="center"/>
      </w:pPr>
      <w:r>
        <w:rPr>
          <w:color w:val="888888"/>
          <w:sz w:val="20"/>
        </w:rPr>
        <w:t>مزامنة أوامر البيع والمدفوعات مع خادم Odoo عن بعد  |  الإصدار 18.0  |  2026</w:t>
      </w:r>
    </w:p>
    <w:p/>
    <w:p>
      <w:pPr>
        <w:pStyle w:val="Heading2"/>
        <w:bidi/>
        <w:jc w:val="right"/>
      </w:pPr>
      <w:r>
        <w:rPr>
          <w:color w:val="1A478A"/>
        </w:rPr>
        <w:t>ما هو الموديول؟</w:t>
      </w:r>
    </w:p>
    <w:p>
      <w:pPr>
        <w:bidi/>
        <w:jc w:val="right"/>
      </w:pPr>
      <w:r>
        <w:rPr>
          <w:sz w:val="22"/>
        </w:rPr>
        <w:t>موديول MS Sale Order Remote Sync يقوم بمزامنة أوامر البيع (Sale Orders) والمدفوعات (Account Payments) تلقائيا بين خادم Odoo المحلي وخادم Odoo بعيد. عند إنشاء أو تعديل أو حذف أمر بيع أو دفعة محليا، يتم تنفيذ نفس العملية تلقائيا على الخادم البعيد في الخلفية دون التأثير على سرعة عمل المستخدم.</w:t>
      </w:r>
    </w:p>
    <w:p>
      <w:pPr>
        <w:pStyle w:val="Heading2"/>
        <w:bidi/>
        <w:jc w:val="right"/>
      </w:pPr>
      <w:r>
        <w:rPr>
          <w:color w:val="1A478A"/>
        </w:rPr>
        <w:t>المميزات الرئيسية</w:t>
      </w:r>
    </w:p>
    <w:p>
      <w:pPr>
        <w:pStyle w:val="ListBullet"/>
        <w:bidi/>
        <w:jc w:val="right"/>
      </w:pPr>
      <w:r>
        <w:t>مزامنة أوامر البيع: إنشاء، تعديل، حذف تلقائيا</w:t>
      </w:r>
    </w:p>
    <w:p>
      <w:pPr>
        <w:pStyle w:val="ListBullet"/>
        <w:bidi/>
        <w:jc w:val="right"/>
      </w:pPr>
      <w:r>
        <w:t>مزامنة المدفوعات: إنشاء، تعديل، حذف مع ربط الدفعة بأمر البيع</w:t>
      </w:r>
    </w:p>
    <w:p>
      <w:pPr>
        <w:pStyle w:val="ListBullet"/>
        <w:bidi/>
        <w:jc w:val="right"/>
      </w:pPr>
      <w:r>
        <w:t>عمل في الخلفية (Async Queue) دون التأثير على المستخدم المحلي</w:t>
      </w:r>
    </w:p>
    <w:p>
      <w:pPr>
        <w:pStyle w:val="ListBullet"/>
        <w:bidi/>
        <w:jc w:val="right"/>
      </w:pPr>
      <w:r>
        <w:t>بحث ذكي وإنشاء تلقائي للعملاء والمنتجات ودفاتر اليومية على الخادم البعيد</w:t>
      </w:r>
    </w:p>
    <w:p>
      <w:pPr>
        <w:pStyle w:val="ListBullet"/>
        <w:bidi/>
        <w:jc w:val="right"/>
      </w:pPr>
      <w:r>
        <w:t>إعادة محاولة تلقائية حتى 5 مرات + تنظيف تلقائي للسجلات الناجحة</w:t>
      </w:r>
    </w:p>
    <w:p>
      <w:pPr>
        <w:pStyle w:val="ListBullet"/>
        <w:bidi/>
        <w:jc w:val="right"/>
      </w:pPr>
      <w:r>
        <w:t>إعداد بسيط: واجهة واحدة فقط لربط الخادمين</w:t>
      </w:r>
    </w:p>
    <w:p>
      <w:r>
        <w:br w:type="page"/>
      </w:r>
    </w:p>
    <w:p>
      <w:pPr>
        <w:pStyle w:val="Heading1"/>
        <w:bidi/>
        <w:jc w:val="right"/>
      </w:pPr>
      <w:r>
        <w:rPr>
          <w:color w:val="1A478A"/>
        </w:rPr>
        <w:t>١. تثبيت الموديول</w:t>
      </w:r>
    </w:p>
    <w:p>
      <w:pPr>
        <w:bidi/>
        <w:jc w:val="right"/>
      </w:pPr>
      <w:r>
        <w:rPr>
          <w:sz w:val="22"/>
        </w:rPr>
        <w:t>لتثبيت الموديول على الخادم المحلي فقط:</w:t>
      </w:r>
    </w:p>
    <w:p>
      <w:pPr>
        <w:pStyle w:val="ListBullet"/>
        <w:bidi/>
        <w:jc w:val="right"/>
      </w:pPr>
      <w:r>
        <w:t>اذهب إلى Apps (التطبيقات) وابحث عن: ms_sale_order_remote_sync</w:t>
      </w:r>
    </w:p>
    <w:p>
      <w:pPr>
        <w:pStyle w:val="ListBullet"/>
        <w:bidi/>
        <w:jc w:val="right"/>
      </w:pPr>
      <w:r>
        <w:t>اضغط على Install (تثبيت)</w:t>
      </w:r>
    </w:p>
    <w:p>
      <w:pPr>
        <w:bidi/>
        <w:jc w:val="right"/>
      </w:pPr>
      <w:r>
        <w:rPr>
          <w:sz w:val="22"/>
        </w:rPr>
        <w:t>تنبيه: الخادم البعيد لا يحتاج تثبيت الموديول. فقط يحتاج أن يكون شغال ويمكن الوصول إليه عبر JSON-RPC.</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01_apps_search.png"/>
                    <pic:cNvPicPr/>
                  </pic:nvPicPr>
                  <pic:blipFill>
                    <a:blip r:embed="rId9"/>
                    <a:stretch>
                      <a:fillRect/>
                    </a:stretch>
                  </pic:blipFill>
                  <pic:spPr>
                    <a:xfrm>
                      <a:off x="0" y="0"/>
                      <a:ext cx="4572000" cy="2939143"/>
                    </a:xfrm>
                    <a:prstGeom prst="rect"/>
                  </pic:spPr>
                </pic:pic>
              </a:graphicData>
            </a:graphic>
          </wp:inline>
        </w:drawing>
      </w:r>
    </w:p>
    <w:p>
      <w:pPr>
        <w:bidi/>
        <w:jc w:val="center"/>
      </w:pPr>
      <w:r>
        <w:rPr>
          <w:color w:val="666666"/>
          <w:sz w:val="18"/>
        </w:rPr>
        <w:t>البحث عن الموديول في قائمة التطبيقات</w:t>
      </w:r>
    </w:p>
    <w:p>
      <w:pPr>
        <w:pStyle w:val="Heading1"/>
        <w:bidi/>
        <w:jc w:val="right"/>
      </w:pPr>
      <w:r>
        <w:rPr>
          <w:color w:val="1A478A"/>
        </w:rPr>
        <w:t>٢. إعداد الاتصال بالخادم البعيد</w:t>
      </w:r>
    </w:p>
    <w:p>
      <w:pPr>
        <w:bidi/>
        <w:jc w:val="right"/>
      </w:pPr>
      <w:r>
        <w:rPr>
          <w:sz w:val="22"/>
        </w:rPr>
        <w:t>اذهب إلى: Sales (المبيعات) ← Remote Sync ← Configuration (الإعداد)، ثم اضغط Create وأنشئ إعداد جديد بالبيانات التالية:</w:t>
      </w:r>
    </w:p>
    <w:tbl>
      <w:tblPr>
        <w:tblStyle w:val="LightGrid-Accent1"/>
        <w:tblW w:type="auto" w:w="0"/>
        <w:tblLook w:firstColumn="1" w:firstRow="1" w:lastColumn="0" w:lastRow="0" w:noHBand="0" w:noVBand="1" w:val="04A0"/>
        <w:bidiVisual/>
      </w:tblPr>
      <w:tblGrid>
        <w:gridCol w:w="4819"/>
        <w:gridCol w:w="4819"/>
      </w:tblGrid>
      <w:tr>
        <w:tc>
          <w:tcPr>
            <w:tcW w:type="dxa" w:w="4819"/>
          </w:tcPr>
          <w:p>
            <w:pPr>
              <w:bidi/>
              <w:jc w:val="right"/>
            </w:pPr>
            <w:r/>
            <w:r>
              <w:rPr>
                <w:b/>
              </w:rPr>
              <w:t>Target URL</w:t>
            </w:r>
          </w:p>
        </w:tc>
        <w:tc>
          <w:tcPr>
            <w:tcW w:type="dxa" w:w="4819"/>
          </w:tcPr>
          <w:p>
            <w:pPr>
              <w:bidi/>
              <w:jc w:val="right"/>
            </w:pPr>
            <w:r/>
            <w:r>
              <w:t>رابط الخادم البعيد (مثال: https://menon-furn.com)</w:t>
            </w:r>
          </w:p>
        </w:tc>
      </w:tr>
      <w:tr>
        <w:tc>
          <w:tcPr>
            <w:tcW w:type="dxa" w:w="4819"/>
          </w:tcPr>
          <w:p>
            <w:pPr>
              <w:bidi/>
              <w:jc w:val="right"/>
            </w:pPr>
            <w:r/>
            <w:r>
              <w:rPr>
                <w:b/>
              </w:rPr>
              <w:t>Target Database</w:t>
            </w:r>
          </w:p>
        </w:tc>
        <w:tc>
          <w:tcPr>
            <w:tcW w:type="dxa" w:w="4819"/>
          </w:tcPr>
          <w:p>
            <w:pPr>
              <w:bidi/>
              <w:jc w:val="right"/>
            </w:pPr>
            <w:r/>
            <w:r>
              <w:t>اسم قاعدة البيانات على الخادم البعيد</w:t>
            </w:r>
          </w:p>
        </w:tc>
      </w:tr>
      <w:tr>
        <w:tc>
          <w:tcPr>
            <w:tcW w:type="dxa" w:w="4819"/>
          </w:tcPr>
          <w:p>
            <w:pPr>
              <w:bidi/>
              <w:jc w:val="right"/>
            </w:pPr>
            <w:r/>
            <w:r>
              <w:rPr>
                <w:b/>
              </w:rPr>
              <w:t>Username</w:t>
            </w:r>
          </w:p>
        </w:tc>
        <w:tc>
          <w:tcPr>
            <w:tcW w:type="dxa" w:w="4819"/>
          </w:tcPr>
          <w:p>
            <w:pPr>
              <w:bidi/>
              <w:jc w:val="right"/>
            </w:pPr>
            <w:r/>
            <w:r>
              <w:t>البريد الإلكتروني للمستخدم على الخادم البعيد</w:t>
            </w:r>
          </w:p>
        </w:tc>
      </w:tr>
      <w:tr>
        <w:tc>
          <w:tcPr>
            <w:tcW w:type="dxa" w:w="4819"/>
          </w:tcPr>
          <w:p>
            <w:pPr>
              <w:bidi/>
              <w:jc w:val="right"/>
            </w:pPr>
            <w:r/>
            <w:r>
              <w:rPr>
                <w:b/>
              </w:rPr>
              <w:t>Password</w:t>
            </w:r>
          </w:p>
        </w:tc>
        <w:tc>
          <w:tcPr>
            <w:tcW w:type="dxa" w:w="4819"/>
          </w:tcPr>
          <w:p>
            <w:pPr>
              <w:bidi/>
              <w:jc w:val="right"/>
            </w:pPr>
            <w:r/>
            <w:r>
              <w:t>كلمة مرور المستخدم على الخادم البعيد</w:t>
            </w:r>
          </w:p>
        </w:tc>
      </w:tr>
      <w:tr>
        <w:tc>
          <w:tcPr>
            <w:tcW w:type="dxa" w:w="4819"/>
          </w:tcPr>
          <w:p>
            <w:pPr>
              <w:bidi/>
              <w:jc w:val="right"/>
            </w:pPr>
            <w:r/>
            <w:r>
              <w:rPr>
                <w:b/>
              </w:rPr>
              <w:t>Active</w:t>
            </w:r>
          </w:p>
        </w:tc>
        <w:tc>
          <w:tcPr>
            <w:tcW w:type="dxa" w:w="4819"/>
          </w:tcPr>
          <w:p>
            <w:pPr>
              <w:bidi/>
              <w:jc w:val="right"/>
            </w:pPr>
            <w:r/>
            <w:r>
              <w:t>تفعيل أو إيقاف المزامنة</w:t>
            </w:r>
          </w:p>
        </w:tc>
      </w:tr>
      <w:tr>
        <w:tc>
          <w:tcPr>
            <w:tcW w:type="dxa" w:w="4819"/>
          </w:tcPr>
          <w:p>
            <w:pPr>
              <w:bidi/>
              <w:jc w:val="right"/>
            </w:pPr>
            <w:r/>
            <w:r>
              <w:rPr>
                <w:b/>
              </w:rPr>
              <w:t>Default Partner ID</w:t>
            </w:r>
          </w:p>
        </w:tc>
        <w:tc>
          <w:tcPr>
            <w:tcW w:type="dxa" w:w="4819"/>
          </w:tcPr>
          <w:p>
            <w:pPr>
              <w:bidi/>
              <w:jc w:val="right"/>
            </w:pPr>
            <w:r/>
            <w:r>
              <w:t>معرف العميل الافتراضي (اختياري)</w:t>
            </w:r>
          </w:p>
        </w:tc>
      </w:tr>
    </w:tbl>
    <w:p/>
    <w:p>
      <w:pPr>
        <w:jc w:val="center"/>
      </w:pPr>
      <w:r>
        <w:drawing>
          <wp:inline xmlns:a="http://schemas.openxmlformats.org/drawingml/2006/main" xmlns:pic="http://schemas.openxmlformats.org/drawingml/2006/picture">
            <wp:extent cx="4389120" cy="2821577"/>
            <wp:docPr id="2" name="Picture 2"/>
            <wp:cNvGraphicFramePr>
              <a:graphicFrameLocks noChangeAspect="1"/>
            </wp:cNvGraphicFramePr>
            <a:graphic>
              <a:graphicData uri="http://schemas.openxmlformats.org/drawingml/2006/picture">
                <pic:pic>
                  <pic:nvPicPr>
                    <pic:cNvPr id="0" name="02_config_form.png"/>
                    <pic:cNvPicPr/>
                  </pic:nvPicPr>
                  <pic:blipFill>
                    <a:blip r:embed="rId10"/>
                    <a:stretch>
                      <a:fillRect/>
                    </a:stretch>
                  </pic:blipFill>
                  <pic:spPr>
                    <a:xfrm>
                      <a:off x="0" y="0"/>
                      <a:ext cx="4389120" cy="2821577"/>
                    </a:xfrm>
                    <a:prstGeom prst="rect"/>
                  </pic:spPr>
                </pic:pic>
              </a:graphicData>
            </a:graphic>
          </wp:inline>
        </w:drawing>
      </w:r>
    </w:p>
    <w:p>
      <w:pPr>
        <w:bidi/>
        <w:jc w:val="center"/>
      </w:pPr>
      <w:r>
        <w:rPr>
          <w:color w:val="666666"/>
          <w:sz w:val="18"/>
        </w:rPr>
        <w:t>نموذج إعداد الاتصال بالخادم البعيد</w:t>
      </w:r>
    </w:p>
    <w:p>
      <w:r>
        <w:br w:type="page"/>
      </w:r>
    </w:p>
    <w:p>
      <w:pPr>
        <w:pStyle w:val="Heading1"/>
        <w:bidi/>
        <w:jc w:val="right"/>
      </w:pPr>
      <w:r>
        <w:rPr>
          <w:color w:val="1A478A"/>
        </w:rPr>
        <w:t>٣. اختبار الاتصال</w:t>
      </w:r>
    </w:p>
    <w:p>
      <w:pPr>
        <w:bidi/>
        <w:jc w:val="right"/>
      </w:pPr>
      <w:r>
        <w:rPr>
          <w:sz w:val="22"/>
        </w:rPr>
        <w:t>بعد حفظ الإعداد، اضغط على زر Test Connection (اختبار الاتصال) الموجود أعلى النموذج.</w:t>
      </w:r>
    </w:p>
    <w:p>
      <w:pPr>
        <w:pStyle w:val="ListBullet"/>
        <w:bidi/>
        <w:jc w:val="right"/>
      </w:pPr>
      <w:r>
        <w:t>إذا ظهرت رسالة Connection OK — تم الاتصال بنجاح</w:t>
      </w:r>
    </w:p>
    <w:p>
      <w:pPr>
        <w:pStyle w:val="ListBullet"/>
        <w:bidi/>
        <w:jc w:val="right"/>
      </w:pPr>
      <w:r>
        <w:t>إذا فشل: تأكد من صحة البيانات وأن الخادم البعيد شغال</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03_test_connection.png"/>
                    <pic:cNvPicPr/>
                  </pic:nvPicPr>
                  <pic:blipFill>
                    <a:blip r:embed="rId11"/>
                    <a:stretch>
                      <a:fillRect/>
                    </a:stretch>
                  </pic:blipFill>
                  <pic:spPr>
                    <a:xfrm>
                      <a:off x="0" y="0"/>
                      <a:ext cx="4572000" cy="2939143"/>
                    </a:xfrm>
                    <a:prstGeom prst="rect"/>
                  </pic:spPr>
                </pic:pic>
              </a:graphicData>
            </a:graphic>
          </wp:inline>
        </w:drawing>
      </w:r>
    </w:p>
    <w:p>
      <w:pPr>
        <w:bidi/>
        <w:jc w:val="center"/>
      </w:pPr>
      <w:r>
        <w:rPr>
          <w:color w:val="666666"/>
          <w:sz w:val="18"/>
        </w:rPr>
        <w:t>نتيجة اختبار الاتصال الناجح — تظهر رسالة Connection OK</w:t>
      </w:r>
    </w:p>
    <w:p>
      <w:pPr>
        <w:pStyle w:val="Heading1"/>
        <w:bidi/>
        <w:jc w:val="right"/>
      </w:pPr>
      <w:r>
        <w:rPr>
          <w:color w:val="1A478A"/>
        </w:rPr>
        <w:t>٤. مراقبة قائمة المزامنة (Queue)</w:t>
      </w:r>
    </w:p>
    <w:p>
      <w:pPr>
        <w:bidi/>
        <w:jc w:val="right"/>
      </w:pPr>
      <w:r>
        <w:rPr>
          <w:sz w:val="22"/>
        </w:rPr>
        <w:t>كل عملية مزامنة تسجل في الطابور. اذهب إلى: Sales ← Remote Sync ← Queue. السجلات الناجحة تمسح تلقائيا، والفاشلة تبقى للمراجعة.</w:t>
      </w:r>
    </w:p>
    <w:tbl>
      <w:tblPr>
        <w:tblStyle w:val="LightGrid-Accent1"/>
        <w:tblW w:type="auto" w:w="0"/>
        <w:tblLook w:firstColumn="1" w:firstRow="1" w:lastColumn="0" w:lastRow="0" w:noHBand="0" w:noVBand="1" w:val="04A0"/>
        <w:bidiVisual/>
      </w:tblPr>
      <w:tblGrid>
        <w:gridCol w:w="4819"/>
        <w:gridCol w:w="4819"/>
      </w:tblGrid>
      <w:tr>
        <w:tc>
          <w:tcPr>
            <w:tcW w:type="dxa" w:w="4819"/>
          </w:tcPr>
          <w:p>
            <w:pPr>
              <w:bidi/>
              <w:jc w:val="right"/>
            </w:pPr>
            <w:r/>
            <w:r>
              <w:rPr>
                <w:b/>
              </w:rPr>
              <w:t>Pending (قيد الانتظار)</w:t>
            </w:r>
          </w:p>
        </w:tc>
        <w:tc>
          <w:tcPr>
            <w:tcW w:type="dxa" w:w="4819"/>
          </w:tcPr>
          <w:p>
            <w:pPr>
              <w:bidi/>
              <w:jc w:val="right"/>
            </w:pPr>
            <w:r/>
            <w:r>
              <w:t>العملية مسجلة وتنتظر دورها</w:t>
            </w:r>
          </w:p>
        </w:tc>
      </w:tr>
      <w:tr>
        <w:tc>
          <w:tcPr>
            <w:tcW w:type="dxa" w:w="4819"/>
          </w:tcPr>
          <w:p>
            <w:pPr>
              <w:bidi/>
              <w:jc w:val="right"/>
            </w:pPr>
            <w:r/>
            <w:r>
              <w:rPr>
                <w:b/>
              </w:rPr>
              <w:t>Processing (قيد المعالجة)</w:t>
            </w:r>
          </w:p>
        </w:tc>
        <w:tc>
          <w:tcPr>
            <w:tcW w:type="dxa" w:w="4819"/>
          </w:tcPr>
          <w:p>
            <w:pPr>
              <w:bidi/>
              <w:jc w:val="right"/>
            </w:pPr>
            <w:r/>
            <w:r>
              <w:t>جاري تنفيذ العملية حاليا</w:t>
            </w:r>
          </w:p>
        </w:tc>
      </w:tr>
      <w:tr>
        <w:tc>
          <w:tcPr>
            <w:tcW w:type="dxa" w:w="4819"/>
          </w:tcPr>
          <w:p>
            <w:pPr>
              <w:bidi/>
              <w:jc w:val="right"/>
            </w:pPr>
            <w:r/>
            <w:r>
              <w:rPr>
                <w:b/>
              </w:rPr>
              <w:t>Done (تمت بنجاح)</w:t>
            </w:r>
          </w:p>
        </w:tc>
        <w:tc>
          <w:tcPr>
            <w:tcW w:type="dxa" w:w="4819"/>
          </w:tcPr>
          <w:p>
            <w:pPr>
              <w:bidi/>
              <w:jc w:val="right"/>
            </w:pPr>
            <w:r/>
            <w:r>
              <w:t>تمت المزامنة — تمسح تلقائيا بعد المعالجة</w:t>
            </w:r>
          </w:p>
        </w:tc>
      </w:tr>
      <w:tr>
        <w:tc>
          <w:tcPr>
            <w:tcW w:type="dxa" w:w="4819"/>
          </w:tcPr>
          <w:p>
            <w:pPr>
              <w:bidi/>
              <w:jc w:val="right"/>
            </w:pPr>
            <w:r/>
            <w:r>
              <w:rPr>
                <w:b/>
              </w:rPr>
              <w:t>Failed (فشلت)</w:t>
            </w:r>
          </w:p>
        </w:tc>
        <w:tc>
          <w:tcPr>
            <w:tcW w:type="dxa" w:w="4819"/>
          </w:tcPr>
          <w:p>
            <w:pPr>
              <w:bidi/>
              <w:jc w:val="right"/>
            </w:pPr>
            <w:r/>
            <w:r>
              <w:t>فشلت بعد 5 محاولات — تبقى للمراجعة</w:t>
            </w:r>
          </w:p>
        </w:tc>
      </w:tr>
      <w:tr>
        <w:tc>
          <w:tcPr>
            <w:tcW w:type="dxa" w:w="4819"/>
          </w:tcPr>
          <w:p>
            <w:pPr>
              <w:bidi/>
              <w:jc w:val="right"/>
            </w:pPr>
            <w:r/>
            <w:r>
              <w:rPr>
                <w:b/>
              </w:rPr>
              <w:t>Retry Count</w:t>
            </w:r>
          </w:p>
        </w:tc>
        <w:tc>
          <w:tcPr>
            <w:tcW w:type="dxa" w:w="4819"/>
          </w:tcPr>
          <w:p>
            <w:pPr>
              <w:bidi/>
              <w:jc w:val="right"/>
            </w:pPr>
            <w:r/>
            <w:r>
              <w:t>عدد محاولات إعادة المعالجة (أقصى حد: 5)</w:t>
            </w:r>
          </w:p>
        </w:tc>
      </w:tr>
    </w:tbl>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05_queue_list.png"/>
                    <pic:cNvPicPr/>
                  </pic:nvPicPr>
                  <pic:blipFill>
                    <a:blip r:embed="rId12"/>
                    <a:stretch>
                      <a:fillRect/>
                    </a:stretch>
                  </pic:blipFill>
                  <pic:spPr>
                    <a:xfrm>
                      <a:off x="0" y="0"/>
                      <a:ext cx="4572000" cy="2939143"/>
                    </a:xfrm>
                    <a:prstGeom prst="rect"/>
                  </pic:spPr>
                </pic:pic>
              </a:graphicData>
            </a:graphic>
          </wp:inline>
        </w:drawing>
      </w:r>
    </w:p>
    <w:p>
      <w:pPr>
        <w:bidi/>
        <w:jc w:val="center"/>
      </w:pPr>
      <w:r>
        <w:rPr>
          <w:color w:val="666666"/>
          <w:sz w:val="18"/>
        </w:rPr>
        <w:t>قائمة الطابور — تظهر العمليات المسجلة مع حالتها</w:t>
      </w:r>
    </w:p>
    <w:p>
      <w:r>
        <w:br w:type="page"/>
      </w:r>
    </w:p>
    <w:p>
      <w:pPr>
        <w:pStyle w:val="Heading1"/>
        <w:bidi/>
        <w:jc w:val="right"/>
      </w:pPr>
      <w:r>
        <w:rPr>
          <w:color w:val="1A478A"/>
        </w:rPr>
        <w:t>٥. مزامنة أوامر البيع</w:t>
      </w:r>
    </w:p>
    <w:p>
      <w:pPr>
        <w:bidi/>
        <w:jc w:val="right"/>
      </w:pPr>
      <w:r>
        <w:rPr>
          <w:sz w:val="22"/>
        </w:rPr>
        <w:t>عند إنشاء أمر بيع محليا، الموديول يقوم تلقائيا في الخلفية بـ:</w:t>
      </w:r>
    </w:p>
    <w:p>
      <w:pPr>
        <w:pStyle w:val="ListBullet"/>
        <w:bidi/>
        <w:jc w:val="right"/>
      </w:pPr>
      <w:r>
        <w:t>البحث عن العميل على الخادم البعيد (بالبريد الإلكتروني ثم بالاسم) — إذا لم يوجد، ينشئه تلقائيا</w:t>
      </w:r>
    </w:p>
    <w:p>
      <w:pPr>
        <w:pStyle w:val="ListBullet"/>
        <w:bidi/>
        <w:jc w:val="right"/>
      </w:pPr>
      <w:r>
        <w:t>البحث عن كل منتج في بنود الأمر (بالرمز ثم بالاسم) — إذا لم يوجد، ينشئه تلقائيا</w:t>
      </w:r>
    </w:p>
    <w:p>
      <w:pPr>
        <w:pStyle w:val="ListBullet"/>
        <w:bidi/>
        <w:jc w:val="right"/>
      </w:pPr>
      <w:r>
        <w:t>إنشاء أمر البيع كاملا مع كل البنود على الخادم البعيد</w:t>
      </w:r>
    </w:p>
    <w:p>
      <w:pPr>
        <w:bidi/>
        <w:jc w:val="right"/>
      </w:pPr>
      <w:r>
        <w:rPr>
          <w:sz w:val="22"/>
        </w:rPr>
        <w:t>التعديل: عند تعديل أمر بيع تمت مزامنته، يتم تحديث العميل، البنود، الملاحظات، الحالة، ومندوب المبيعات.</w:t>
      </w:r>
    </w:p>
    <w:p>
      <w:pPr>
        <w:bidi/>
        <w:jc w:val="right"/>
      </w:pPr>
      <w:r>
        <w:rPr>
          <w:sz w:val="22"/>
        </w:rPr>
        <w:t>الحذف: عند حذف أمر بيع محليا، يتم حذفه من الخادم البعيد تلقائيا.</w:t>
      </w:r>
    </w:p>
    <w:p>
      <w:pPr>
        <w:pStyle w:val="Heading1"/>
        <w:bidi/>
        <w:jc w:val="right"/>
      </w:pPr>
      <w:r>
        <w:rPr>
          <w:color w:val="1A478A"/>
        </w:rPr>
        <w:t>٦. مزامنة المدفوعات</w:t>
      </w:r>
    </w:p>
    <w:p>
      <w:pPr>
        <w:bidi/>
        <w:jc w:val="right"/>
      </w:pPr>
      <w:r>
        <w:rPr>
          <w:sz w:val="22"/>
        </w:rPr>
        <w:t>أي دفعة (Account Payment) يتم إنشاؤها أو تعديلها أو حذفها تتم مزامنتها تلقائيا مع الخادم البعيد، سواء كانت مرتبطة بأمر بيع أم لا.</w:t>
      </w:r>
    </w:p>
    <w:p>
      <w:pPr>
        <w:pStyle w:val="ListBullet"/>
        <w:bidi/>
        <w:jc w:val="right"/>
      </w:pPr>
      <w:r>
        <w:t>يتم البحث عن دفتر اليومية بالاسم على الخادم البعيد</w:t>
      </w:r>
    </w:p>
    <w:p>
      <w:pPr>
        <w:pStyle w:val="ListBullet"/>
        <w:bidi/>
        <w:jc w:val="right"/>
      </w:pPr>
      <w:r>
        <w:t>إذا كانت الدفعة مرتبطة بأمر بيع، يتم الربط عبر جدول الـ Mapping</w:t>
      </w:r>
    </w:p>
    <w:p>
      <w:pPr>
        <w:pStyle w:val="ListBullet"/>
        <w:bidi/>
        <w:jc w:val="right"/>
      </w:pPr>
      <w:r>
        <w:t>البيانات المزامنة: العميل، المبلغ، نوع الدفعة، التاريخ، دفتر اليومية، المرجع، الملاحظات</w:t>
      </w:r>
    </w:p>
    <w:p>
      <w:pPr>
        <w:pStyle w:val="Heading2"/>
        <w:bidi/>
        <w:jc w:val="right"/>
      </w:pPr>
      <w:r>
        <w:rPr>
          <w:color w:val="1A478A"/>
        </w:rPr>
        <w:t>٧. الترتيب الذكي للبحث</w:t>
      </w:r>
    </w:p>
    <w:p>
      <w:pPr>
        <w:bidi/>
        <w:jc w:val="right"/>
      </w:pPr>
      <w:r>
        <w:rPr>
          <w:sz w:val="22"/>
        </w:rPr>
        <w:t>البحث عن العملاء: ① جدول الربط المحلي ② البريد الإلكتروني ③ الاسم ④ إنشاء تلقائي</w:t>
      </w:r>
    </w:p>
    <w:p>
      <w:pPr>
        <w:bidi/>
        <w:jc w:val="right"/>
      </w:pPr>
      <w:r>
        <w:rPr>
          <w:sz w:val="22"/>
        </w:rPr>
        <w:t>البحث عن المنتجات: ① جدول الربط المحلي ② الرمز (Default Code) ③ الاسم ④ إنشاء تلقائي</w:t>
      </w:r>
    </w:p>
    <w:p>
      <w:pPr>
        <w:bidi/>
        <w:jc w:val="right"/>
      </w:pPr>
      <w:r>
        <w:rPr>
          <w:sz w:val="22"/>
        </w:rPr>
        <w:t>البحث عن دفاتر اليومية: ① الاسم ② إذا لم يوجد، لا يتم تعيين دفتر اليومية</w:t>
      </w:r>
    </w:p>
    <w:p>
      <w:pPr>
        <w:pStyle w:val="Heading1"/>
        <w:bidi/>
        <w:jc w:val="right"/>
      </w:pPr>
      <w:r>
        <w:rPr>
          <w:color w:val="1A478A"/>
        </w:rPr>
        <w:t>٨. جدول المزامنة التلقائي (Cron)</w:t>
      </w:r>
    </w:p>
    <w:p>
      <w:pPr>
        <w:bidi/>
        <w:jc w:val="right"/>
      </w:pPr>
      <w:r>
        <w:rPr>
          <w:sz w:val="22"/>
        </w:rPr>
        <w:t>المهمة المجدولة تعمل كل دقيقة تلقائيا وتعالج حتى 20 عنصرا في كل دورة. بعد كل دورة، تمسح السجلات الناجحة تلقائيا. يمكن تعديل الإعدادات من: Settings → Technical → Scheduled Actions → Remote Sync: Process Queue.</w:t>
      </w:r>
    </w:p>
    <w:p>
      <w:r>
        <w:br w:type="page"/>
      </w:r>
    </w:p>
    <w:p>
      <w:pPr>
        <w:pStyle w:val="Heading1"/>
        <w:bidi/>
        <w:jc w:val="right"/>
      </w:pPr>
      <w:r>
        <w:rPr>
          <w:color w:val="1A478A"/>
        </w:rPr>
        <w:t>٩. الأسئلة المتكررة</w:t>
      </w:r>
    </w:p>
    <w:p>
      <w:pPr>
        <w:bidi/>
        <w:jc w:val="right"/>
      </w:pPr>
      <w:r>
        <w:rPr>
          <w:b/>
          <w:sz w:val="22"/>
        </w:rPr>
        <w:t>س: هل يؤثر الموديول على سرعة النظام المحلي؟</w:t>
      </w:r>
    </w:p>
    <w:p>
      <w:pPr>
        <w:bidi/>
        <w:jc w:val="right"/>
      </w:pPr>
      <w:r>
        <w:rPr>
          <w:sz w:val="20"/>
        </w:rPr>
        <w:t>ج: لا، جميع عمليات المزامنة تتم في الخلفية عبر Queue. المستخدم لا يشعر بأي بطء.</w:t>
      </w:r>
    </w:p>
    <w:p/>
    <w:p>
      <w:pPr>
        <w:bidi/>
        <w:jc w:val="right"/>
      </w:pPr>
      <w:r>
        <w:rPr>
          <w:b/>
          <w:sz w:val="22"/>
        </w:rPr>
        <w:t>س: ماذا يحدث إذا فشلت المزامنة؟</w:t>
      </w:r>
    </w:p>
    <w:p>
      <w:pPr>
        <w:bidi/>
        <w:jc w:val="right"/>
      </w:pPr>
      <w:r>
        <w:rPr>
          <w:sz w:val="20"/>
        </w:rPr>
        <w:t>ج: النظام يعيد المحاولة تلقائيا كل دقيقة حتى 5 مرات. إذا فشلت جميع المحاولات، تبقى العملية في حالة Failed مع رسالة توضح السبب.</w:t>
      </w:r>
    </w:p>
    <w:p/>
    <w:p>
      <w:pPr>
        <w:bidi/>
        <w:jc w:val="right"/>
      </w:pPr>
      <w:r>
        <w:rPr>
          <w:b/>
          <w:sz w:val="22"/>
        </w:rPr>
        <w:t>س: هل يمكنني مزامنة سجلات قديمة؟</w:t>
      </w:r>
    </w:p>
    <w:p>
      <w:pPr>
        <w:bidi/>
        <w:jc w:val="right"/>
      </w:pPr>
      <w:r>
        <w:rPr>
          <w:sz w:val="20"/>
        </w:rPr>
        <w:t>ج: الموديول يعمل فقط على السجلات الجديدة أو المعدلة بعد التثبيت. السجلات القديمة تحتاج تعديلها يدويا وحفظها لتتم مزامنتها.</w:t>
      </w:r>
    </w:p>
    <w:p/>
    <w:p>
      <w:pPr>
        <w:bidi/>
        <w:jc w:val="right"/>
      </w:pPr>
      <w:r>
        <w:rPr>
          <w:b/>
          <w:sz w:val="22"/>
        </w:rPr>
        <w:t>س: هل الموديول يعمل في الاتجاهين؟</w:t>
      </w:r>
    </w:p>
    <w:p>
      <w:pPr>
        <w:bidi/>
        <w:jc w:val="right"/>
      </w:pPr>
      <w:r>
        <w:rPr>
          <w:sz w:val="20"/>
        </w:rPr>
        <w:t>ج: لا، المزامنة في اتجاه واحد: من الخادم المحلي إلى الخادم البعيد.</w:t>
      </w:r>
    </w:p>
    <w:p/>
    <w:p>
      <w:pPr>
        <w:bidi/>
        <w:jc w:val="right"/>
      </w:pPr>
      <w:r>
        <w:rPr>
          <w:b/>
          <w:sz w:val="22"/>
        </w:rPr>
        <w:t>س: كيف أوقف المزامنة مؤقتا؟</w:t>
      </w:r>
    </w:p>
    <w:p>
      <w:pPr>
        <w:bidi/>
        <w:jc w:val="right"/>
      </w:pPr>
      <w:r>
        <w:rPr>
          <w:sz w:val="20"/>
        </w:rPr>
        <w:t>ج: اذهب إلى الإعداد (Configuration) وقم بإلغاء تفعيل خيار Active.</w:t>
      </w:r>
    </w:p>
    <w:p/>
    <w:p>
      <w:pPr>
        <w:bidi/>
        <w:jc w:val="right"/>
      </w:pPr>
      <w:r>
        <w:rPr>
          <w:b/>
          <w:sz w:val="22"/>
        </w:rPr>
        <w:t>س: كيف أعرف أن المزامنة تمت بنجاح؟</w:t>
      </w:r>
    </w:p>
    <w:p>
      <w:pPr>
        <w:bidi/>
        <w:jc w:val="right"/>
      </w:pPr>
      <w:r>
        <w:rPr>
          <w:sz w:val="20"/>
        </w:rPr>
        <w:t>ج: اذهب إلى Sales → Remote Sync → Queue. إذا لم تشاهد سجلات Failed، فكل شيء يعمل بشكل صحيح.</w:t>
      </w:r>
    </w:p>
    <w:p/>
    <w:p/>
    <w:p>
      <w:pPr>
        <w:bidi/>
        <w:jc w:val="center"/>
      </w:pPr>
      <w:r>
        <w:rPr>
          <w:color w:val="999999"/>
          <w:sz w:val="18"/>
        </w:rPr>
        <w:t>MS Team  |  2026</w:t>
      </w:r>
    </w:p>
    <w:sectPr w:rsidR="00FC693F" w:rsidRPr="0006063C" w:rsidSect="00034616">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bidi/>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