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E5FE4">
      <w:r>
        <w:rPr>
          <w:rStyle w:val="138"/>
        </w:rPr>
        <w:t xml:space="preserve">ELEKTRİKLİ ARAÇ ŞARJ İSTASYONLARINDA </w:t>
      </w:r>
      <w:r>
        <w:rPr>
          <w:rStyle w:val="138"/>
          <w:rFonts w:hint="default" w:asciiTheme="majorHAnsi"/>
          <w:sz w:val="28"/>
          <w:szCs w:val="28"/>
          <w:shd w:val="clear" w:color="auto" w:fill="auto"/>
          <w:lang w:val="tr-TR"/>
        </w:rPr>
        <w:t>G</w:t>
      </w:r>
      <w:r>
        <w:rPr>
          <w:rStyle w:val="138"/>
          <w:rFonts w:hint="default" w:asciiTheme="majorHAnsi"/>
          <w:sz w:val="28"/>
          <w:szCs w:val="28"/>
          <w:shd w:val="clear" w:color="auto" w:fill="auto"/>
          <w:lang w:val="tr-TR"/>
        </w:rPr>
        <w:t>ECE YARISI ŞARJ ANOMALİSİ</w:t>
      </w:r>
      <w:r>
        <w:rPr>
          <w:rStyle w:val="138"/>
          <w:rFonts w:hint="default"/>
          <w:shd w:val="clear" w:color="auto" w:fill="auto"/>
          <w:lang w:val="tr-TR"/>
        </w:rPr>
        <w:t xml:space="preserve"> </w:t>
      </w:r>
      <w:r>
        <w:rPr>
          <w:rStyle w:val="138"/>
          <w:rFonts w:hint="default"/>
          <w:lang w:val="tr-TR"/>
        </w:rPr>
        <w:t xml:space="preserve"> </w:t>
      </w:r>
      <w:r>
        <w:rPr>
          <w:rStyle w:val="138"/>
        </w:rPr>
        <w:br w:type="textWrapping"/>
      </w:r>
      <w:r>
        <w:br w:type="textWrapping"/>
      </w:r>
      <w:r>
        <w:t>ÖZET</w:t>
      </w:r>
      <w:r>
        <w:br w:type="textWrapping"/>
      </w:r>
      <w:r>
        <w:t>Bu çalışma, 15–30 Ekim 2024 tarihleri arasında İstanbul’da bu</w:t>
      </w:r>
      <w:bookmarkStart w:id="0" w:name="_GoBack"/>
      <w:bookmarkEnd w:id="0"/>
      <w:r>
        <w:t>lunan 50 elektrikli araç (EV) şarj istasyonunda meydana gelen güvenlik anomalilerini ve olay müdahale sürecini analiz etmektedir. Olay kapsamında 23 kullanıcı kartı etkilenmiş, faturalandırma departmanı tarafından gece saatlerinde tespit edilen %340 işlem artışı ve %12 gelir artışı üzerinden anormal aktiviteler belirlenmiştir.</w:t>
      </w:r>
      <w:r>
        <w:br w:type="textWrapping"/>
      </w:r>
      <w:r>
        <w:br w:type="textWrapping"/>
      </w:r>
      <w:r>
        <w:t>1. OLAY ÖZETİ</w:t>
      </w:r>
      <w:r>
        <w:br w:type="textWrapping"/>
      </w:r>
      <w:r>
        <w:t xml:space="preserve">Tarih: 15–30 Ekim 2024  </w:t>
      </w:r>
      <w:r>
        <w:br w:type="textWrapping"/>
      </w:r>
      <w:r>
        <w:t xml:space="preserve">Lokasyon: İstanbul, 50 EV şarj istasyonu  </w:t>
      </w:r>
      <w:r>
        <w:br w:type="textWrapping"/>
      </w:r>
      <w:r>
        <w:t xml:space="preserve">Etkilenen: 23 kullanıcı kartı  </w:t>
      </w:r>
      <w:r>
        <w:br w:type="textWrapping"/>
      </w:r>
      <w:r>
        <w:br w:type="textWrapping"/>
      </w:r>
      <w:r>
        <w:t>İlk tespit, 15 Ekim 2024 tarihinde saat 09:30’da finans departmanının rutin kontrolü sırasında gerçekleştirilmiştir. Anomali, gece saatlerinde gözlemlenen yüksek işlem artışı ve düşük enerji tüketimi ile ilişkilendirilmiştir.</w:t>
      </w:r>
      <w:r>
        <w:br w:type="textWrapping"/>
      </w:r>
      <w:r>
        <w:br w:type="textWrapping"/>
      </w:r>
      <w:r>
        <w:t>2. KRİTİK BULGULAR</w:t>
      </w:r>
      <w:r>
        <w:br w:type="textWrapping"/>
      </w:r>
      <w:r>
        <w:t>Aşağıdaki tablo, gündüz ve gece arasında gözlemlenen temel farkları göstermektedir:</w:t>
      </w:r>
      <w:r>
        <w:br w:type="textWrapping"/>
      </w:r>
      <w:r>
        <w:br w:type="textWrapping"/>
      </w:r>
      <w:r>
        <w:t>| Metrik | Normal Gündüz | Gece Anomali | Fark |</w:t>
      </w:r>
      <w:r>
        <w:br w:type="textWrapping"/>
      </w:r>
      <w:r>
        <w:t>|--------|---------------|--------------|------|</w:t>
      </w:r>
      <w:r>
        <w:br w:type="textWrapping"/>
      </w:r>
      <w:r>
        <w:t>| Ortalama süre | 38 dakika | 2.8 dakika | -93% |</w:t>
      </w:r>
      <w:r>
        <w:br w:type="textWrapping"/>
      </w:r>
      <w:r>
        <w:t>| Enerji tüketimi | 25–30 kWh | 0.5–2 kWh | -90% |</w:t>
      </w:r>
      <w:r>
        <w:br w:type="textWrapping"/>
      </w:r>
      <w:r>
        <w:t>| Ortalama ücret | 45 TL | 3.5 TL | -92% |</w:t>
      </w:r>
      <w:r>
        <w:br w:type="textWrapping"/>
      </w:r>
      <w:r>
        <w:t>| İşlem sıklığı | 1.2/gün | 4–7/gece | +400% |</w:t>
      </w:r>
      <w:r>
        <w:br w:type="textWrapping"/>
      </w:r>
      <w:r>
        <w:br w:type="textWrapping"/>
      </w:r>
      <w:r>
        <w:t>Fiziksel olarak imkânsız hareketler gözlemlenmiştir. Örneğin, “TR-EV-4523” numaralı kullanıcı 8 saniye içinde Kadıköy’den Beşiktaş’a (18 km) geçerek dört farklı istasyonda eşzamanlı şarj işlemi başlatmıştır.</w:t>
      </w:r>
      <w:r>
        <w:br w:type="textWrapping"/>
      </w:r>
      <w:r>
        <w:br w:type="textWrapping"/>
      </w:r>
      <w:r>
        <w:t>3. ANOMALİ ANALİZİ</w:t>
      </w:r>
      <w:r>
        <w:br w:type="textWrapping"/>
      </w:r>
      <w:r>
        <w:t xml:space="preserve">3.1 Kimlik Doğrulama Sorunları  </w:t>
      </w:r>
      <w:r>
        <w:br w:type="textWrapping"/>
      </w:r>
      <w:r>
        <w:t xml:space="preserve">- 23 şüpheli kullanıcı kartı tespit edilmiştir.  </w:t>
      </w:r>
      <w:r>
        <w:br w:type="textWrapping"/>
      </w:r>
      <w:r>
        <w:t xml:space="preserve">- Aynı RFID kartı farklı lokasyonlarda eşzamanlı kullanılmıştır.  </w:t>
      </w:r>
      <w:r>
        <w:br w:type="textWrapping"/>
      </w:r>
      <w:r>
        <w:t>- Tek bir IP adresinden (185.43.xxx.xxx) çoklu istasyon erişimi sağlanmıştır.</w:t>
      </w:r>
      <w:r>
        <w:br w:type="textWrapping"/>
      </w:r>
      <w:r>
        <w:br w:type="textWrapping"/>
      </w:r>
      <w:r>
        <w:t xml:space="preserve">3.2 Ağ Trafiği Anomalileri  </w:t>
      </w:r>
      <w:r>
        <w:br w:type="textWrapping"/>
      </w:r>
      <w:r>
        <w:t xml:space="preserve">- API çağrı sayısı 120’den 980’e yükselmiştir (%717 artış).  </w:t>
      </w:r>
      <w:r>
        <w:br w:type="textWrapping"/>
      </w:r>
      <w:r>
        <w:t xml:space="preserve">- MQTT mesaj trafiğinde benzer şekilde %717 artış gözlenmiştir.  </w:t>
      </w:r>
      <w:r>
        <w:br w:type="textWrapping"/>
      </w:r>
      <w:r>
        <w:t>- Minimal istek boyutları (0.8 KB) otomatikleştirilmiş işlemlere işaret etmektedir.</w:t>
      </w:r>
      <w:r>
        <w:br w:type="textWrapping"/>
      </w:r>
      <w:r>
        <w:br w:type="textWrapping"/>
      </w:r>
      <w:r>
        <w:t xml:space="preserve">3.3 Şarj Paterni Anomalileri  </w:t>
      </w:r>
      <w:r>
        <w:br w:type="textWrapping"/>
      </w:r>
      <w:r>
        <w:t xml:space="preserve">- Ortalama 2.8 dakikalık kısa seanslar.  </w:t>
      </w:r>
      <w:r>
        <w:br w:type="textWrapping"/>
      </w:r>
      <w:r>
        <w:t xml:space="preserve">- Minimal enerji tüketimi (test amaçlı işlemler).  </w:t>
      </w:r>
      <w:r>
        <w:br w:type="textWrapping"/>
      </w:r>
      <w:r>
        <w:t xml:space="preserve">- Düzenli aralıklarla (5–15 saniye) işlem tekrarı.  </w:t>
      </w:r>
      <w:r>
        <w:br w:type="textWrapping"/>
      </w:r>
      <w:r>
        <w:t>- Yoğunluk, gece 02:00–04:00 saatleri arasında görülmüştür.</w:t>
      </w:r>
      <w:r>
        <w:br w:type="textWrapping"/>
      </w:r>
      <w:r>
        <w:br w:type="textWrapping"/>
      </w:r>
      <w:r>
        <w:t>4. GÜVENLİK HİPOTEZLERİ</w:t>
      </w:r>
      <w:r>
        <w:br w:type="textWrapping"/>
      </w:r>
      <w:r>
        <w:t xml:space="preserve">Hipotez 1: RFID Kart Klonlama (%75)  </w:t>
      </w:r>
      <w:r>
        <w:br w:type="textWrapping"/>
      </w:r>
      <w:r>
        <w:t xml:space="preserve">Saldırganlar proximity reader kullanarak kullanıcı kartlarını kopyalamış olabilir. Kanıt olarak aynı kartın farklı istasyonlarda eşzamanlı kullanımı ve kısa test işlemleri sunulmuştur.  </w:t>
      </w:r>
      <w:r>
        <w:br w:type="textWrapping"/>
      </w:r>
      <w:r>
        <w:br w:type="textWrapping"/>
      </w:r>
      <w:r>
        <w:t xml:space="preserve">Hipotez 2: API Manipülasyonu (%85)  </w:t>
      </w:r>
      <w:r>
        <w:br w:type="textWrapping"/>
      </w:r>
      <w:r>
        <w:t xml:space="preserve">Saldırganlar şarj başlatma API’sine doğrudan erişim sağlayarak token hırsızlığı gerçekleştirmiştir. Rate limiting mekanizmasının zayıf olması bu hipotezi desteklemektedir.  </w:t>
      </w:r>
      <w:r>
        <w:br w:type="textWrapping"/>
      </w:r>
      <w:r>
        <w:br w:type="textWrapping"/>
      </w:r>
      <w:r>
        <w:t xml:space="preserve">Hipotez 3: Insider Attack (%40)  </w:t>
      </w:r>
      <w:r>
        <w:br w:type="textWrapping"/>
      </w:r>
      <w:r>
        <w:t xml:space="preserve">Bakım personeli tarafından test kartlarının kötüye kullanımı olasılığı bulunmaktadır.  </w:t>
      </w:r>
      <w:r>
        <w:br w:type="textWrapping"/>
      </w:r>
      <w:r>
        <w:br w:type="textWrapping"/>
      </w:r>
      <w:r>
        <w:t xml:space="preserve">Hipotez 4: IoT Firmware Exploit (%60)  </w:t>
      </w:r>
      <w:r>
        <w:br w:type="textWrapping"/>
      </w:r>
      <w:r>
        <w:t>Bazı şarj istasyonlarının firmware’lerinde yer alan zafiyetler (hardcoded credentials, unencrypted communication) saldırıya olanak sağlamış olabilir.</w:t>
      </w:r>
      <w:r>
        <w:br w:type="textWrapping"/>
      </w:r>
      <w:r>
        <w:br w:type="textWrapping"/>
      </w:r>
      <w:r>
        <w:t>5. INCIDENT RESPONSE (OLAY MÜDAHALESİ)</w:t>
      </w:r>
      <w:r>
        <w:br w:type="textWrapping"/>
      </w:r>
      <w:r>
        <w:t xml:space="preserve">5.1 Hazırlık (Preparation)  </w:t>
      </w:r>
      <w:r>
        <w:br w:type="textWrapping"/>
      </w:r>
      <w:r>
        <w:t>IR planı ve ekip rollerinin önceden belirlenmiş olması, hızlı müdahale sürecine katkı sağlamıştır.</w:t>
      </w:r>
      <w:r>
        <w:br w:type="textWrapping"/>
      </w:r>
      <w:r>
        <w:br w:type="textWrapping"/>
      </w:r>
      <w:r>
        <w:t xml:space="preserve">5.2 Tespit (Detection)  </w:t>
      </w:r>
      <w:r>
        <w:br w:type="textWrapping"/>
      </w:r>
      <w:r>
        <w:t>Anomali 15 Ekim’de manuel olarak tespit edilmiştir. Gecikme süresi 12 saat olup, bu durum gerçek zamanlı uyarı sisteminin eksikliğini göstermektedir.</w:t>
      </w:r>
      <w:r>
        <w:br w:type="textWrapping"/>
      </w:r>
      <w:r>
        <w:br w:type="textWrapping"/>
      </w:r>
      <w:r>
        <w:t xml:space="preserve">5.3 Sınırlama (Containment)  </w:t>
      </w:r>
      <w:r>
        <w:br w:type="textWrapping"/>
      </w:r>
      <w:r>
        <w:t>Kısa vadede 23 RFID kartı bloke edilmiş, şüpheli IP adresleri engellenmiştir. Uzun vadede firmware güncellemeleri ve token geçersizlik işlemleri planlanmıştır.</w:t>
      </w:r>
      <w:r>
        <w:br w:type="textWrapping"/>
      </w:r>
      <w:r>
        <w:br w:type="textWrapping"/>
      </w:r>
    </w:p>
    <w:p w14:paraId="34DEB558">
      <w:r>
        <w:t xml:space="preserve">5.4 Temizleme (Eradication)  </w:t>
      </w:r>
      <w:r>
        <w:br w:type="textWrapping"/>
      </w:r>
      <w:r>
        <w:t>RFID sistemleri Mifare Classic’ten DESFire EV3’e geçirilmiş, API güvenliği artırılmış ve firmware güvenliği yeniden yapılandırılmıştır.</w:t>
      </w:r>
      <w:r>
        <w:br w:type="textWrapping"/>
      </w:r>
      <w:r>
        <w:br w:type="textWrapping"/>
      </w:r>
      <w:r>
        <w:t xml:space="preserve">5.5 Kurtarma (Recovery)  </w:t>
      </w:r>
      <w:r>
        <w:br w:type="textWrapping"/>
      </w:r>
      <w:r>
        <w:t>19–22 Ekim tarihleri arasında istasyonlar kademeli olarak yeniden hizmete alınmıştır.</w:t>
      </w:r>
      <w:r>
        <w:br w:type="textWrapping"/>
      </w:r>
      <w:r>
        <w:br w:type="textWrapping"/>
      </w:r>
      <w:r>
        <w:t xml:space="preserve">5.6 Değerlendirme (Lessons Learned)  </w:t>
      </w:r>
      <w:r>
        <w:br w:type="textWrapping"/>
      </w:r>
      <w:r>
        <w:t>Olay sonrası yapılan analizde, hızlı tespit ve etkili sınırlama ön plana çıkarken, API güvenliği ve gerçek zamanlı izleme alanlarında iyileştirme ihtiyacı belirlenmiştir.</w:t>
      </w:r>
      <w:r>
        <w:br w:type="textWrapping"/>
      </w:r>
      <w:r>
        <w:br w:type="textWrapping"/>
      </w:r>
      <w:r>
        <w:t>6. MALİYET ANALİZİ</w:t>
      </w:r>
      <w:r>
        <w:br w:type="textWrapping"/>
      </w:r>
      <w:r>
        <w:t xml:space="preserve">Toplam zarar yaklaşık 213,500 TL olarak hesaplanmıştır.  </w:t>
      </w:r>
      <w:r>
        <w:br w:type="textWrapping"/>
      </w:r>
      <w:r>
        <w:t>Önleyici yatırımların toplam maliyeti ise 1,530,000 TL olup, uzun vadede pozitif bir yatırım getirisi (ROI) beklenmektedir.</w:t>
      </w:r>
      <w:r>
        <w:br w:type="textWrapping"/>
      </w:r>
      <w:r>
        <w:br w:type="textWrapping"/>
      </w:r>
      <w:r>
        <w:t>7. ÖNLEYİCİ TEDBİRLER</w:t>
      </w:r>
      <w:r>
        <w:br w:type="textWrapping"/>
      </w:r>
      <w:r>
        <w:t xml:space="preserve">Kısa Vadeli (0–30 gün): MFA zorunluluğu, API rate limiting, JWT token süre sınırlaması.  </w:t>
      </w:r>
      <w:r>
        <w:br w:type="textWrapping"/>
      </w:r>
      <w:r>
        <w:t xml:space="preserve">Orta Vadeli (1–6 ay): Blockchain tabanlı kimlik doğrulama, AI davranış analizi, honeypot kullanımı.  </w:t>
      </w:r>
      <w:r>
        <w:br w:type="textWrapping"/>
      </w:r>
      <w:r>
        <w:t>Uzun Vadeli (6–12 ay): Zero-Trust mimarisi.</w:t>
      </w:r>
      <w:r>
        <w:br w:type="textWrapping"/>
      </w:r>
      <w:r>
        <w:br w:type="textWrapping"/>
      </w:r>
      <w:r>
        <w:t>KAYNAKÇA</w:t>
      </w:r>
      <w:r>
        <w:br w:type="textWrapping"/>
      </w:r>
      <w:r>
        <w:t xml:space="preserve">1. Detection of Anomalies in Electric Vehicle Charging Sessions. ACM Digital Library.  </w:t>
      </w:r>
      <w:r>
        <w:br w:type="textWrapping"/>
      </w:r>
      <w:r>
        <w:t xml:space="preserve">2. Cyber–Physical Security in EV Charging Infrastructure. ScienceDirect.  </w:t>
      </w:r>
      <w:r>
        <w:br w:type="textWrapping"/>
      </w:r>
      <w:r>
        <w:t xml:space="preserve">3. Anomaly Detection with Grid Sentinel Framework. Nature Scientific Reports.  </w:t>
      </w:r>
      <w:r>
        <w:br w:type="textWrapping"/>
      </w:r>
      <w:r>
        <w:t>4. Anomaly Detection of Adversarial Cyber Attacks on EV Charging Stations. ScienceDirect.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4B64C0"/>
    <w:rsid w:val="293B6568"/>
    <w:rsid w:val="432F17FB"/>
    <w:rsid w:val="7926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Samet Şahin</cp:lastModifiedBy>
  <dcterms:modified xsi:type="dcterms:W3CDTF">2025-11-21T21:35:27Z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3D7304C0C0B64BCEA9AB1A40ED45AA18_12</vt:lpwstr>
  </property>
</Properties>
</file>