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13455">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13455">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lastRenderedPageBreak/>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lastRenderedPageBreak/>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lastRenderedPageBreak/>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lastRenderedPageBreak/>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t>Scénarios</w:t>
      </w:r>
      <w:bookmarkEnd w:id="30"/>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lastRenderedPageBreak/>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une trace jaune derrière le </w:t>
            </w:r>
            <w:r>
              <w:rPr>
                <w:rFonts w:ascii="Arial" w:hAnsi="Arial" w:cs="Arial"/>
                <w:lang w:val="fr-FR"/>
              </w:rPr>
              <w:lastRenderedPageBreak/>
              <w:t>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lastRenderedPageBreak/>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lastRenderedPageBreak/>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lastRenderedPageBreak/>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w:t>
            </w:r>
            <w:r>
              <w:rPr>
                <w:rFonts w:ascii="Arial" w:hAnsi="Arial" w:cs="Arial"/>
                <w:lang w:val="fr-FR"/>
              </w:rPr>
              <w:lastRenderedPageBreak/>
              <w:t xml:space="preserve">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1 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lastRenderedPageBreak/>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L’utilisateur clique sur le mode 2 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lastRenderedPageBreak/>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8128FA">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lastRenderedPageBreak/>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bookmarkStart w:id="32" w:name="_GoBack"/>
            <w:bookmarkEnd w:id="32"/>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lastRenderedPageBreak/>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lastRenderedPageBreak/>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455" w:rsidRDefault="00A13455" w:rsidP="00AC1509">
      <w:pPr>
        <w:spacing w:after="0" w:line="240" w:lineRule="auto"/>
      </w:pPr>
      <w:r>
        <w:separator/>
      </w:r>
    </w:p>
  </w:endnote>
  <w:endnote w:type="continuationSeparator" w:id="0">
    <w:p w:rsidR="00A13455" w:rsidRDefault="00A13455"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F96C9C" w:rsidRPr="00F96C9C">
          <w:rPr>
            <w:b/>
            <w:bCs/>
            <w:noProof/>
            <w:lang w:val="fr-FR"/>
          </w:rPr>
          <w:t>15</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F96C9C" w:rsidRPr="00F96C9C">
          <w:rPr>
            <w:b/>
            <w:bCs/>
            <w:noProof/>
            <w:lang w:val="fr-FR"/>
          </w:rPr>
          <w:t>15</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455" w:rsidRDefault="00A13455" w:rsidP="00AC1509">
      <w:pPr>
        <w:spacing w:after="0" w:line="240" w:lineRule="auto"/>
      </w:pPr>
      <w:r>
        <w:separator/>
      </w:r>
    </w:p>
  </w:footnote>
  <w:footnote w:type="continuationSeparator" w:id="0">
    <w:p w:rsidR="00A13455" w:rsidRDefault="00A13455"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3269"/>
    <w:rsid w:val="00405F54"/>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AE9"/>
    <w:rsid w:val="005112C5"/>
    <w:rsid w:val="0051260E"/>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405E0"/>
    <w:rsid w:val="007510F4"/>
    <w:rsid w:val="007576D4"/>
    <w:rsid w:val="00774C06"/>
    <w:rsid w:val="007A0AC7"/>
    <w:rsid w:val="007A6D7C"/>
    <w:rsid w:val="007B36D9"/>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94F33"/>
    <w:rsid w:val="008A2E9F"/>
    <w:rsid w:val="008A56AD"/>
    <w:rsid w:val="008B51A0"/>
    <w:rsid w:val="008C4465"/>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3455"/>
    <w:rsid w:val="00A15036"/>
    <w:rsid w:val="00A15D74"/>
    <w:rsid w:val="00A25301"/>
    <w:rsid w:val="00A26A09"/>
    <w:rsid w:val="00A53FA9"/>
    <w:rsid w:val="00A544BC"/>
    <w:rsid w:val="00A54BBE"/>
    <w:rsid w:val="00A5563C"/>
    <w:rsid w:val="00A6074B"/>
    <w:rsid w:val="00A67F78"/>
    <w:rsid w:val="00A702EF"/>
    <w:rsid w:val="00A744BB"/>
    <w:rsid w:val="00A85B57"/>
    <w:rsid w:val="00A86228"/>
    <w:rsid w:val="00AB5ECD"/>
    <w:rsid w:val="00AC1509"/>
    <w:rsid w:val="00AD382A"/>
    <w:rsid w:val="00AF054E"/>
    <w:rsid w:val="00B023CB"/>
    <w:rsid w:val="00B04394"/>
    <w:rsid w:val="00B04930"/>
    <w:rsid w:val="00B06CEF"/>
    <w:rsid w:val="00B21D62"/>
    <w:rsid w:val="00B22460"/>
    <w:rsid w:val="00B22ECE"/>
    <w:rsid w:val="00B25F55"/>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651A"/>
    <w:rsid w:val="00E041F2"/>
    <w:rsid w:val="00E0518D"/>
    <w:rsid w:val="00E065DA"/>
    <w:rsid w:val="00E066C0"/>
    <w:rsid w:val="00E12B64"/>
    <w:rsid w:val="00E37403"/>
    <w:rsid w:val="00E42F67"/>
    <w:rsid w:val="00E56497"/>
    <w:rsid w:val="00E6119A"/>
    <w:rsid w:val="00E67761"/>
    <w:rsid w:val="00E71122"/>
    <w:rsid w:val="00E763DF"/>
    <w:rsid w:val="00E76DC0"/>
    <w:rsid w:val="00E860E4"/>
    <w:rsid w:val="00E90C65"/>
    <w:rsid w:val="00EA32A2"/>
    <w:rsid w:val="00EA72C0"/>
    <w:rsid w:val="00EC0577"/>
    <w:rsid w:val="00EC2656"/>
    <w:rsid w:val="00EC5AB4"/>
    <w:rsid w:val="00EF2F3B"/>
    <w:rsid w:val="00F20796"/>
    <w:rsid w:val="00F24F3E"/>
    <w:rsid w:val="00F32990"/>
    <w:rsid w:val="00F35044"/>
    <w:rsid w:val="00F37BDC"/>
    <w:rsid w:val="00F41B74"/>
    <w:rsid w:val="00F539D9"/>
    <w:rsid w:val="00F65FA6"/>
    <w:rsid w:val="00F6689E"/>
    <w:rsid w:val="00F67A50"/>
    <w:rsid w:val="00F701E8"/>
    <w:rsid w:val="00F836BD"/>
    <w:rsid w:val="00F932A8"/>
    <w:rsid w:val="00F96C9C"/>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23" Type="http://schemas.openxmlformats.org/officeDocument/2006/relationships/fontTable" Target="fontTable.xml"/><Relationship Id="rId10" Type="http://schemas.openxmlformats.org/officeDocument/2006/relationships/hyperlink" Target="https://www.afci-ju.ch/fichiers/Planification-par-la-mthode-des-6-tapes-15.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7353CC-3F6A-4780-850A-E0CCB8BD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16</Pages>
  <Words>3390</Words>
  <Characters>18649</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309</cp:revision>
  <dcterms:created xsi:type="dcterms:W3CDTF">2024-03-28T14:46:00Z</dcterms:created>
  <dcterms:modified xsi:type="dcterms:W3CDTF">2024-04-30T13:44:00Z</dcterms:modified>
</cp:coreProperties>
</file>