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F3183B">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F3183B">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3E0755" w:rsidRPr="00B93A01" w:rsidRDefault="003E0755" w:rsidP="003E0755">
      <w:pPr>
        <w:rPr>
          <w:rFonts w:ascii="Arial" w:hAnsi="Arial" w:cs="Arial"/>
          <w:lang w:val="fr-FR"/>
        </w:rPr>
      </w:pPr>
      <w:r>
        <w:rPr>
          <w:rFonts w:ascii="Arial" w:hAnsi="Arial" w:cs="Arial"/>
          <w:lang w:val="fr-FR"/>
        </w:rPr>
        <w:t>Dans le cahier des charges on me demande de réaliser…</w:t>
      </w:r>
    </w:p>
    <w:p w:rsidR="003E0755" w:rsidRPr="003E0755" w:rsidRDefault="003E0755" w:rsidP="003E0755">
      <w:pPr>
        <w:rPr>
          <w:lang w:val="fr-FR"/>
        </w:rPr>
      </w:pPr>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lastRenderedPageBreak/>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lastRenderedPageBreak/>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fldSimple w:instr=" SEQ Figure \* ARABIC ">
                              <w:r>
                                <w:rPr>
                                  <w:noProof/>
                                </w:rPr>
                                <w:t>1</w:t>
                              </w:r>
                            </w:fldSimple>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lastRenderedPageBreak/>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lastRenderedPageBreak/>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lastRenderedPageBreak/>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t>Scénarios</w:t>
      </w:r>
      <w:bookmarkEnd w:id="30"/>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lastRenderedPageBreak/>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L’utilisateur débute l’algorithme et nous voulons voir le bot qui se </w:t>
            </w:r>
            <w:r>
              <w:rPr>
                <w:rFonts w:ascii="Arial" w:hAnsi="Arial" w:cs="Arial"/>
                <w:lang w:val="fr-FR"/>
              </w:rPr>
              <w:lastRenderedPageBreak/>
              <w:t>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lastRenderedPageBreak/>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lastRenderedPageBreak/>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jaune derrière le 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 xml:space="preserve">1 L’utilisateur clique depuis le menu sur le bouton « charger </w:t>
            </w:r>
            <w:r>
              <w:rPr>
                <w:rFonts w:ascii="Arial" w:hAnsi="Arial" w:cs="Arial"/>
                <w:lang w:val="fr-FR"/>
              </w:rPr>
              <w:lastRenderedPageBreak/>
              <w:t>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lastRenderedPageBreak/>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 xml:space="preserve">Nous retourne une liste de bouton cliquable qui représente chaque carte que nous </w:t>
            </w:r>
            <w:r>
              <w:rPr>
                <w:rFonts w:ascii="Arial" w:hAnsi="Arial" w:cs="Arial"/>
                <w:lang w:val="fr-FR"/>
              </w:rPr>
              <w:lastRenderedPageBreak/>
              <w:t>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lastRenderedPageBreak/>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 xml:space="preserve">En tant qu’utilisateur je veux pouvoir lancer le mode 2 et regarder </w:t>
            </w:r>
            <w:r>
              <w:rPr>
                <w:rFonts w:ascii="Arial" w:hAnsi="Arial" w:cs="Arial"/>
                <w:lang w:val="fr-FR"/>
              </w:rPr>
              <w:lastRenderedPageBreak/>
              <w:t>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lastRenderedPageBreak/>
              <w:t xml:space="preserve">L’utilisateur clique sur le mode 2 après une </w:t>
            </w:r>
            <w:r>
              <w:rPr>
                <w:rFonts w:ascii="Arial" w:hAnsi="Arial" w:cs="Arial"/>
                <w:lang w:val="fr-FR"/>
              </w:rPr>
              <w:lastRenderedPageBreak/>
              <w:t>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lastRenderedPageBreak/>
              <w:t>Bouton mode 1</w:t>
            </w:r>
          </w:p>
          <w:p w:rsidR="00D96E62" w:rsidRPr="00B93A01" w:rsidRDefault="00D96E62" w:rsidP="00D96E62">
            <w:pPr>
              <w:rPr>
                <w:rFonts w:ascii="Arial" w:hAnsi="Arial" w:cs="Arial"/>
                <w:lang w:val="fr-FR"/>
              </w:rPr>
            </w:pPr>
            <w:r>
              <w:rPr>
                <w:rFonts w:ascii="Arial" w:hAnsi="Arial" w:cs="Arial"/>
                <w:lang w:val="fr-FR"/>
              </w:rPr>
              <w:lastRenderedPageBreak/>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lastRenderedPageBreak/>
              <w:t xml:space="preserve">Le bot commence et effectue correctement </w:t>
            </w:r>
            <w:r>
              <w:rPr>
                <w:rFonts w:ascii="Arial" w:hAnsi="Arial" w:cs="Arial"/>
                <w:lang w:val="fr-FR"/>
              </w:rPr>
              <w:lastRenderedPageBreak/>
              <w:t xml:space="preserve">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lastRenderedPageBreak/>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 xml:space="preserve">L’utilisateur clique sur le bouton « Supprimer » en dessous de la </w:t>
            </w:r>
            <w:r>
              <w:rPr>
                <w:sz w:val="24"/>
                <w:szCs w:val="24"/>
                <w:lang w:val="fr-FR"/>
              </w:rPr>
              <w:lastRenderedPageBreak/>
              <w:t>liste de carte que nous avons sauvegarder</w:t>
            </w:r>
          </w:p>
        </w:tc>
        <w:tc>
          <w:tcPr>
            <w:tcW w:w="1651" w:type="dxa"/>
          </w:tcPr>
          <w:p w:rsidR="009239C3" w:rsidRPr="00D97AA4" w:rsidRDefault="00B31C3E" w:rsidP="008128FA">
            <w:pPr>
              <w:rPr>
                <w:sz w:val="24"/>
                <w:szCs w:val="24"/>
                <w:lang w:val="fr-FR"/>
              </w:rPr>
            </w:pPr>
            <w:r>
              <w:rPr>
                <w:sz w:val="24"/>
                <w:szCs w:val="24"/>
                <w:lang w:val="fr-FR"/>
              </w:rPr>
              <w:lastRenderedPageBreak/>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lastRenderedPageBreak/>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lastRenderedPageBreak/>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0921F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41731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bookmarkStart w:id="32" w:name="_GoBack"/>
            <w:bookmarkEnd w:id="32"/>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lastRenderedPageBreak/>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83B" w:rsidRDefault="00F3183B" w:rsidP="00AC1509">
      <w:pPr>
        <w:spacing w:after="0" w:line="240" w:lineRule="auto"/>
      </w:pPr>
      <w:r>
        <w:separator/>
      </w:r>
    </w:p>
  </w:endnote>
  <w:endnote w:type="continuationSeparator" w:id="0">
    <w:p w:rsidR="00F3183B" w:rsidRDefault="00F3183B"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C22A3C" w:rsidRPr="00C22A3C">
          <w:rPr>
            <w:b/>
            <w:bCs/>
            <w:noProof/>
            <w:lang w:val="fr-FR"/>
          </w:rPr>
          <w:t>15</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C22A3C" w:rsidRPr="00C22A3C">
          <w:rPr>
            <w:b/>
            <w:bCs/>
            <w:noProof/>
            <w:lang w:val="fr-FR"/>
          </w:rPr>
          <w:t>15</w:t>
        </w:r>
        <w:r>
          <w:rPr>
            <w:b/>
            <w:bC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83B" w:rsidRDefault="00F3183B" w:rsidP="00AC1509">
      <w:pPr>
        <w:spacing w:after="0" w:line="240" w:lineRule="auto"/>
      </w:pPr>
      <w:r>
        <w:separator/>
      </w:r>
    </w:p>
  </w:footnote>
  <w:footnote w:type="continuationSeparator" w:id="0">
    <w:p w:rsidR="00F3183B" w:rsidRDefault="00F3183B"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885C2F">
    <w:pPr>
      <w:pStyle w:val="En-tte"/>
      <w:rPr>
        <w:lang w:val="fr-FR"/>
      </w:rPr>
    </w:pPr>
    <w:r>
      <w:rPr>
        <w:lang w:val="fr-FR"/>
      </w:rPr>
      <w:t>FREDDI Sam</w:t>
    </w:r>
    <w:r w:rsidR="00500192">
      <w:rPr>
        <w:lang w:val="fr-FR"/>
      </w:rPr>
      <w:tab/>
      <w:t>Travail pratique individuel</w:t>
    </w:r>
    <w:r w:rsidR="00500192">
      <w:rPr>
        <w:lang w:val="fr-FR"/>
      </w:rPr>
      <w:tab/>
      <w:t>15.05.2024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21FD"/>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194F"/>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74EBB"/>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0755"/>
    <w:rsid w:val="003E3269"/>
    <w:rsid w:val="003F2158"/>
    <w:rsid w:val="00405F54"/>
    <w:rsid w:val="0041731C"/>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855"/>
    <w:rsid w:val="00501AE9"/>
    <w:rsid w:val="005112C5"/>
    <w:rsid w:val="0051260E"/>
    <w:rsid w:val="005130A5"/>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36E88"/>
    <w:rsid w:val="007405E0"/>
    <w:rsid w:val="007510F4"/>
    <w:rsid w:val="007576D4"/>
    <w:rsid w:val="0075796D"/>
    <w:rsid w:val="00774C06"/>
    <w:rsid w:val="007A0AC7"/>
    <w:rsid w:val="007A6D7C"/>
    <w:rsid w:val="007B36D9"/>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85C2F"/>
    <w:rsid w:val="00894F33"/>
    <w:rsid w:val="008A2E9F"/>
    <w:rsid w:val="008A56AD"/>
    <w:rsid w:val="008B51A0"/>
    <w:rsid w:val="008C4465"/>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3455"/>
    <w:rsid w:val="00A15036"/>
    <w:rsid w:val="00A15D74"/>
    <w:rsid w:val="00A25301"/>
    <w:rsid w:val="00A26A09"/>
    <w:rsid w:val="00A31C47"/>
    <w:rsid w:val="00A53FA9"/>
    <w:rsid w:val="00A544BC"/>
    <w:rsid w:val="00A54BBE"/>
    <w:rsid w:val="00A5563C"/>
    <w:rsid w:val="00A6074B"/>
    <w:rsid w:val="00A67F78"/>
    <w:rsid w:val="00A702EF"/>
    <w:rsid w:val="00A744BB"/>
    <w:rsid w:val="00A85B57"/>
    <w:rsid w:val="00A86228"/>
    <w:rsid w:val="00AB5ECD"/>
    <w:rsid w:val="00AC1509"/>
    <w:rsid w:val="00AC25BD"/>
    <w:rsid w:val="00AD382A"/>
    <w:rsid w:val="00AF054E"/>
    <w:rsid w:val="00B023CB"/>
    <w:rsid w:val="00B04394"/>
    <w:rsid w:val="00B04930"/>
    <w:rsid w:val="00B06CEF"/>
    <w:rsid w:val="00B21D62"/>
    <w:rsid w:val="00B22460"/>
    <w:rsid w:val="00B22ECE"/>
    <w:rsid w:val="00B25B5D"/>
    <w:rsid w:val="00B25F55"/>
    <w:rsid w:val="00B30ACD"/>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2A3C"/>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16D12"/>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4E65"/>
    <w:rsid w:val="00DD651A"/>
    <w:rsid w:val="00E041F2"/>
    <w:rsid w:val="00E0518D"/>
    <w:rsid w:val="00E065DA"/>
    <w:rsid w:val="00E066C0"/>
    <w:rsid w:val="00E12B64"/>
    <w:rsid w:val="00E37403"/>
    <w:rsid w:val="00E42F67"/>
    <w:rsid w:val="00E56497"/>
    <w:rsid w:val="00E6119A"/>
    <w:rsid w:val="00E67761"/>
    <w:rsid w:val="00E71122"/>
    <w:rsid w:val="00E763DF"/>
    <w:rsid w:val="00E76DC0"/>
    <w:rsid w:val="00E860E4"/>
    <w:rsid w:val="00E87741"/>
    <w:rsid w:val="00E90C65"/>
    <w:rsid w:val="00EA32A2"/>
    <w:rsid w:val="00EA72C0"/>
    <w:rsid w:val="00EC0577"/>
    <w:rsid w:val="00EC2656"/>
    <w:rsid w:val="00EC5AB4"/>
    <w:rsid w:val="00EF2F3B"/>
    <w:rsid w:val="00F20796"/>
    <w:rsid w:val="00F24F3E"/>
    <w:rsid w:val="00F3183B"/>
    <w:rsid w:val="00F32990"/>
    <w:rsid w:val="00F35044"/>
    <w:rsid w:val="00F37BDC"/>
    <w:rsid w:val="00F41B74"/>
    <w:rsid w:val="00F539D9"/>
    <w:rsid w:val="00F65FA6"/>
    <w:rsid w:val="00F6689E"/>
    <w:rsid w:val="00F67A50"/>
    <w:rsid w:val="00F701E8"/>
    <w:rsid w:val="00F836BD"/>
    <w:rsid w:val="00F932A8"/>
    <w:rsid w:val="00F94409"/>
    <w:rsid w:val="00F96C9C"/>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10" Type="http://schemas.openxmlformats.org/officeDocument/2006/relationships/hyperlink" Target="https://www.afci-ju.ch/fichiers/Planification-par-la-mthode-des-6-tapes-15.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E6A1F-EE84-4D1B-B6BF-4B1CAC048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16</Pages>
  <Words>3410</Words>
  <Characters>18756</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327</cp:revision>
  <dcterms:created xsi:type="dcterms:W3CDTF">2024-03-28T14:46:00Z</dcterms:created>
  <dcterms:modified xsi:type="dcterms:W3CDTF">2024-05-07T14:39:00Z</dcterms:modified>
</cp:coreProperties>
</file>