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Adult Income Classifier — Final Project Report</w:t>
      </w:r>
    </w:p>
    <w:p>
      <w:pPr>
        <w:spacing w:after="60"/>
      </w:pPr>
      <w:r>
        <w:rPr>
          <w:i/>
          <w:iCs/>
          <w:color w:val="555555"/>
          <w:sz w:val="20"/>
          <w:szCs w:val="20"/>
        </w:rPr>
        <w:t xml:space="preserve">Week 1, Day 5 · Complete end-to-end supervised classification project</w:t>
      </w:r>
    </w:p>
    <w:p>
      <w:pPr>
        <w:spacing w:after="140"/>
      </w:pPr>
      <w:r>
        <w:rPr>
          <w:i/>
          <w:iCs/>
          <w:color w:val="666666"/>
        </w:rPr>
        <w:t xml:space="preserve">Sections marked “[fill from run]” require re-running the Day 5 notebook locally (fetch_openml needs network access this environment does not have). Every other figure below is a real result already produced during Week 1.</w:t>
      </w:r>
    </w:p>
    <w:p>
      <w:pPr>
        <w:pStyle w:val="Heading1"/>
        <w:spacing w:after="120" w:before="280"/>
      </w:pPr>
      <w:r>
        <w:t xml:space="preserve">1. Problem Definition</w:t>
      </w:r>
    </w:p>
    <w:p>
      <w:pPr>
        <w:spacing w:after="140"/>
      </w:pPr>
      <w:r>
        <w:t xml:space="preserve">This project builds a binary classifier that predicts whether an individual's annual income exceeds $50,000, using the U.S. Census “Adult” dataset. The task matters as a stand-in for a common real-world pattern: income-qualification screening for benefits, lending pre-checks, or targeted outreach, where a model needs to be not just accurate but calibrated and threshold-tuned to a specific cost trade-off between missed qualifiers and false flags.</w:t>
      </w:r>
    </w:p>
    <w:p>
      <w:pPr>
        <w:pStyle w:val="Heading1"/>
        <w:spacing w:after="120" w:before="280"/>
      </w:pPr>
      <w:r>
        <w:t xml:space="preserve">2. Data Preparation</w:t>
      </w:r>
    </w:p>
    <w:p>
      <w:pPr>
        <w:spacing w:after="140"/>
      </w:pPr>
      <w:r>
        <w:t xml:space="preserve">Source: OpenML “adult” dataset (v2), ~48,800 rows, split 80/20 with stratification on the target (random_state=42). The literal “?” used for missing categorical values was mapped to NaN and handled by imputers inside the pipeline, never manually before the split.</w:t>
      </w:r>
    </w:p>
    <w:p>
      <w:pPr>
        <w:spacing w:after="140"/>
      </w:pPr>
      <w:r>
        <w:t xml:space="preserve">Feature engineering added eight derived columns — age and hours-per-week buckets, capital-gain/loss flags, a log-transformed capital gain, a higher-education flag, and two interaction terms (education×hours, age×hours) — implemented as a single scikit-learn transformer class so the resulting pipeline serializes reliably. Numeric features were median-imputed and standardized; categorical features were mode-imputed and one-hot encoded. Both fit only inside the pipeline/CV loop, never on the full dataset, which was verified explicitly (see Section 8).</w:t>
      </w:r>
    </w:p>
    <w:p>
      <w:pPr>
        <w:pStyle w:val="Heading1"/>
        <w:spacing w:after="120" w:before="280"/>
      </w:pPr>
      <w:r>
        <w:t xml:space="preserve">3. Model Development</w:t>
      </w:r>
    </w:p>
    <w:p>
      <w:pPr>
        <w:spacing w:after="140"/>
      </w:pPr>
      <w:r>
        <w:t xml:space="preserve">Three model families were shortlisted: Logistic Regression, Random Forest, and HistGradientBoosting. All three sit behind the identical preprocessing pipeline so comparisons are attributable to the model, not to inconsistent inputs. Baseline (untuned) test accuracy was 0.8598 for Logistic Regression and 0.8520 for Random Forest before any hyperparameter search.</w:t>
      </w:r>
    </w:p>
    <w:p>
      <w:pPr>
        <w:pStyle w:val="Heading1"/>
        <w:spacing w:after="120" w:before="280"/>
      </w:pPr>
      <w:r>
        <w:t xml:space="preserve">4. Model Tuning</w:t>
      </w:r>
    </w:p>
    <w:p>
      <w:pPr>
        <w:spacing w:after="140"/>
      </w:pPr>
      <w:r>
        <w:t xml:space="preserve">RandomizedSearchCV, 20 iterations, StratifiedKFold(5, shuffle=True), scoring=“f1” (not accuracy — the positive class is a ~24% minority, so accuracy rewards the majority-class default). Selected configurations:</w:t>
      </w:r>
    </w:p>
    <w:p>
      <w:pPr>
        <w:pStyle w:val="ListParagraph"/>
        <w:numPr>
          <w:ilvl w:val="0"/>
          <w:numId w:val="2"/>
        </w:numPr>
        <w:spacing w:after="60"/>
      </w:pPr>
      <w:r>
        <w:t xml:space="preserve">Logistic Regression — C ≈ 73.9, l1_ratio = 0 (ridge-equivalent). Best CV F1: 0.6745; Test F1: 0.6744.</w:t>
      </w:r>
    </w:p>
    <w:p>
      <w:pPr>
        <w:pStyle w:val="ListParagraph"/>
        <w:numPr>
          <w:ilvl w:val="0"/>
          <w:numId w:val="2"/>
        </w:numPr>
        <w:spacing w:after="60"/>
      </w:pPr>
      <w:r>
        <w:t xml:space="preserve">Random Forest — max_depth=15, max_features=0.5, min_samples_leaf=7, n_estimators=363. Best CV F1: 0.6838; Test F1: 0.6906.</w:t>
      </w:r>
    </w:p>
    <w:p>
      <w:pPr>
        <w:pStyle w:val="ListParagraph"/>
        <w:numPr>
          <w:ilvl w:val="0"/>
          <w:numId w:val="2"/>
        </w:numPr>
        <w:spacing w:after="60"/>
      </w:pPr>
      <w:r>
        <w:t xml:space="preserve">HistGradientBoosting — [fill from run: best_params_ and Test F1]. Not tuned in the original pass despite being the strongest Day-3 candidate; added in this notebook under the identical protocol.</w:t>
      </w:r>
    </w:p>
    <w:p>
      <w:pPr>
        <w:pStyle w:val="Heading1"/>
        <w:spacing w:after="120" w:before="280"/>
      </w:pPr>
      <w:r>
        <w:t xml:space="preserve">5. Diagnostics</w:t>
      </w:r>
    </w:p>
    <w:p>
      <w:pPr>
        <w:spacing w:after="140"/>
      </w:pPr>
      <w:r>
        <w:t xml:space="preserve">Learning curves (StratifiedKFold(5), scoring=“f1”, 8 training sizes) show a materially different story for each model, which is the point missed in the earlier draft of this analysis:</w:t>
      </w:r>
    </w:p>
    <w:p>
      <w:pPr>
        <w:pStyle w:val="ListParagraph"/>
        <w:numPr>
          <w:ilvl w:val="0"/>
          <w:numId w:val="2"/>
        </w:numPr>
        <w:spacing w:after="60"/>
      </w:pPr>
      <w:r>
        <w:t xml:space="preserve">Logistic Regression: train F1 0.679 vs. validation F1 0.675 at full training size — gap of 0.005. Essentially converged; a C-sweep from 0.001 to 100 confirms F1 is flat from C=1 upward, so the model is at its bias ceiling, not being held back by regularization.</w:t>
      </w:r>
    </w:p>
    <w:p>
      <w:pPr>
        <w:pStyle w:val="ListParagraph"/>
        <w:numPr>
          <w:ilvl w:val="0"/>
          <w:numId w:val="2"/>
        </w:numPr>
        <w:spacing w:after="60"/>
      </w:pPr>
      <w:r>
        <w:t xml:space="preserve">Random Forest: train F1 0.742 vs. validation F1 0.684 at full training size — gap of 0.058, still narrowing as training size increases (was 0.13 at 10% of the data). The model has not fully converged; more data or stronger regularization (higher min_samples_leaf, lower max_features) would likely close more of this gap.</w:t>
      </w:r>
    </w:p>
    <w:p>
      <w:pPr>
        <w:spacing w:after="140"/>
      </w:pPr>
      <w:r>
        <w:t xml:space="preserve">Calibration: a sigmoid-calibrated Logistic Regression scored a Brier score of 0.0975 on the test set, with the reliability curve close to the diagonal across probability bins — predicted probabilities are usable as-is, not just as a ranking signal. [Confirm this holds for the model actually selected as final in your run — re-check outputs/calibration_curve.png.]</w:t>
      </w:r>
    </w:p>
    <w:p>
      <w:pPr>
        <w:pStyle w:val="Heading1"/>
        <w:spacing w:after="120" w:before="280"/>
      </w:pPr>
      <w:r>
        <w:t xml:space="preserve">6. Final Results</w:t>
      </w:r>
    </w:p>
    <w:p>
      <w:pPr>
        <w:spacing w:after="140"/>
      </w:pPr>
      <w:r>
        <w:t xml:space="preserve">Full comparison of all shortlisted models plus the final calibrated, threshold-tuned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600"/>
        <w:gridCol w:w="1600"/>
        <w:gridCol w:w="1440"/>
      </w:tblGrid>
      <w:tr>
        <w:trPr>
          <w:tblHeader/>
        </w:trPr>
        <w:tc>
          <w:tcPr>
            <w:tcW w:type="dxa" w:w="2400"/>
            <w:shd w:fill="1F2A44" w:val="clear"/>
            <w:tcMar>
              <w:top w:type="dxa" w:w="60"/>
              <w:left w:type="dxa" w:w="100"/>
              <w:bottom w:type="dxa" w:w="60"/>
              <w:right w:type="dxa" w:w="100"/>
            </w:tcMar>
          </w:tcPr>
          <w:p>
            <w:r>
              <w:rPr>
                <w:b/>
                <w:bCs/>
                <w:color w:val="FFFFFF"/>
                <w:sz w:val="19"/>
                <w:szCs w:val="19"/>
              </w:rPr>
              <w:t xml:space="preserve">Model</w:t>
            </w:r>
          </w:p>
        </w:tc>
        <w:tc>
          <w:tcPr>
            <w:tcW w:type="dxa" w:w="1500"/>
            <w:shd w:fill="1F2A44" w:val="clear"/>
            <w:tcMar>
              <w:top w:type="dxa" w:w="60"/>
              <w:left w:type="dxa" w:w="100"/>
              <w:bottom w:type="dxa" w:w="60"/>
              <w:right w:type="dxa" w:w="100"/>
            </w:tcMar>
          </w:tcPr>
          <w:p>
            <w:r>
              <w:rPr>
                <w:b/>
                <w:bCs/>
                <w:color w:val="FFFFFF"/>
                <w:sz w:val="19"/>
                <w:szCs w:val="19"/>
              </w:rPr>
              <w:t xml:space="preserve">Accuracy</w:t>
            </w:r>
          </w:p>
        </w:tc>
        <w:tc>
          <w:tcPr>
            <w:tcW w:type="dxa" w:w="1500"/>
            <w:shd w:fill="1F2A44" w:val="clear"/>
            <w:tcMar>
              <w:top w:type="dxa" w:w="60"/>
              <w:left w:type="dxa" w:w="100"/>
              <w:bottom w:type="dxa" w:w="60"/>
              <w:right w:type="dxa" w:w="100"/>
            </w:tcMar>
          </w:tcPr>
          <w:p>
            <w:r>
              <w:rPr>
                <w:b/>
                <w:bCs/>
                <w:color w:val="FFFFFF"/>
                <w:sz w:val="19"/>
                <w:szCs w:val="19"/>
              </w:rPr>
              <w:t xml:space="preserve">Precision</w:t>
            </w:r>
          </w:p>
        </w:tc>
        <w:tc>
          <w:tcPr>
            <w:tcW w:type="dxa" w:w="1600"/>
            <w:shd w:fill="1F2A44" w:val="clear"/>
            <w:tcMar>
              <w:top w:type="dxa" w:w="60"/>
              <w:left w:type="dxa" w:w="100"/>
              <w:bottom w:type="dxa" w:w="60"/>
              <w:right w:type="dxa" w:w="100"/>
            </w:tcMar>
          </w:tcPr>
          <w:p>
            <w:r>
              <w:rPr>
                <w:b/>
                <w:bCs/>
                <w:color w:val="FFFFFF"/>
                <w:sz w:val="19"/>
                <w:szCs w:val="19"/>
              </w:rPr>
              <w:t xml:space="preserve">Recall</w:t>
            </w:r>
          </w:p>
        </w:tc>
        <w:tc>
          <w:tcPr>
            <w:tcW w:type="dxa" w:w="1600"/>
            <w:shd w:fill="1F2A44" w:val="clear"/>
            <w:tcMar>
              <w:top w:type="dxa" w:w="60"/>
              <w:left w:type="dxa" w:w="100"/>
              <w:bottom w:type="dxa" w:w="60"/>
              <w:right w:type="dxa" w:w="100"/>
            </w:tcMar>
          </w:tcPr>
          <w:p>
            <w:r>
              <w:rPr>
                <w:b/>
                <w:bCs/>
                <w:color w:val="FFFFFF"/>
                <w:sz w:val="19"/>
                <w:szCs w:val="19"/>
              </w:rPr>
              <w:t xml:space="preserve">F1</w:t>
            </w:r>
          </w:p>
        </w:tc>
        <w:tc>
          <w:tcPr>
            <w:tcW w:type="dxa" w:w="1440"/>
            <w:shd w:fill="1F2A44" w:val="clear"/>
            <w:tcMar>
              <w:top w:type="dxa" w:w="60"/>
              <w:left w:type="dxa" w:w="100"/>
              <w:bottom w:type="dxa" w:w="60"/>
              <w:right w:type="dxa" w:w="100"/>
            </w:tcMar>
          </w:tcPr>
          <w:p>
            <w:r>
              <w:rPr>
                <w:b/>
                <w:bCs/>
                <w:color w:val="FFFFFF"/>
                <w:sz w:val="19"/>
                <w:szCs w:val="19"/>
              </w:rPr>
              <w:t xml:space="preserve">Brier</w:t>
            </w:r>
          </w:p>
        </w:tc>
      </w:tr>
      <w:tr>
        <w:tc>
          <w:tcPr>
            <w:tcW w:type="dxa" w:w="2400"/>
            <w:tcMar>
              <w:top w:type="dxa" w:w="60"/>
              <w:left w:type="dxa" w:w="100"/>
              <w:bottom w:type="dxa" w:w="60"/>
              <w:right w:type="dxa" w:w="100"/>
            </w:tcMar>
          </w:tcPr>
          <w:p>
            <w:r>
              <w:rPr>
                <w:b w:val="false"/>
                <w:bCs w:val="false"/>
                <w:color w:val="000000"/>
                <w:sz w:val="19"/>
                <w:szCs w:val="19"/>
              </w:rPr>
              <w:t xml:space="preserve">Logistic Regression (tuned)</w:t>
            </w:r>
          </w:p>
        </w:tc>
        <w:tc>
          <w:tcPr>
            <w:tcW w:type="dxa" w:w="1500"/>
            <w:tcMar>
              <w:top w:type="dxa" w:w="60"/>
              <w:left w:type="dxa" w:w="100"/>
              <w:bottom w:type="dxa" w:w="60"/>
              <w:right w:type="dxa" w:w="100"/>
            </w:tcMar>
          </w:tcPr>
          <w:p>
            <w:r>
              <w:rPr>
                <w:b w:val="false"/>
                <w:bCs w:val="false"/>
                <w:color w:val="000000"/>
                <w:sz w:val="19"/>
                <w:szCs w:val="19"/>
              </w:rPr>
              <w:t xml:space="preserve">0.8592</w:t>
            </w:r>
          </w:p>
        </w:tc>
        <w:tc>
          <w:tcPr>
            <w:tcW w:type="dxa" w:w="1500"/>
            <w:tcMar>
              <w:top w:type="dxa" w:w="60"/>
              <w:left w:type="dxa" w:w="100"/>
              <w:bottom w:type="dxa" w:w="60"/>
              <w:right w:type="dxa" w:w="100"/>
            </w:tcMar>
          </w:tcPr>
          <w:p>
            <w:r>
              <w:rPr>
                <w:b w:val="false"/>
                <w:bCs w:val="false"/>
                <w:color w:val="000000"/>
                <w:sz w:val="19"/>
                <w:szCs w:val="19"/>
              </w:rPr>
              <w:t xml:space="preserve">0.7582*</w:t>
            </w:r>
          </w:p>
        </w:tc>
        <w:tc>
          <w:tcPr>
            <w:tcW w:type="dxa" w:w="1600"/>
            <w:tcMar>
              <w:top w:type="dxa" w:w="60"/>
              <w:left w:type="dxa" w:w="100"/>
              <w:bottom w:type="dxa" w:w="60"/>
              <w:right w:type="dxa" w:w="100"/>
            </w:tcMar>
          </w:tcPr>
          <w:p>
            <w:r>
              <w:rPr>
                <w:b w:val="false"/>
                <w:bCs w:val="false"/>
                <w:color w:val="000000"/>
                <w:sz w:val="19"/>
                <w:szCs w:val="19"/>
              </w:rPr>
              <w:t xml:space="preserve">0.6061*</w:t>
            </w:r>
          </w:p>
        </w:tc>
        <w:tc>
          <w:tcPr>
            <w:tcW w:type="dxa" w:w="1600"/>
            <w:tcMar>
              <w:top w:type="dxa" w:w="60"/>
              <w:left w:type="dxa" w:w="100"/>
              <w:bottom w:type="dxa" w:w="60"/>
              <w:right w:type="dxa" w:w="100"/>
            </w:tcMar>
          </w:tcPr>
          <w:p>
            <w:r>
              <w:rPr>
                <w:b w:val="false"/>
                <w:bCs w:val="false"/>
                <w:color w:val="000000"/>
                <w:sz w:val="19"/>
                <w:szCs w:val="19"/>
              </w:rPr>
              <w:t xml:space="preserve">0.6744</w:t>
            </w:r>
          </w:p>
        </w:tc>
        <w:tc>
          <w:tcPr>
            <w:tcW w:type="dxa" w:w="1440"/>
            <w:tcMar>
              <w:top w:type="dxa" w:w="60"/>
              <w:left w:type="dxa" w:w="100"/>
              <w:bottom w:type="dxa" w:w="60"/>
              <w:right w:type="dxa" w:w="100"/>
            </w:tcMar>
          </w:tcPr>
          <w:p>
            <w:r>
              <w:rPr>
                <w:b w:val="false"/>
                <w:bCs w:val="false"/>
                <w:color w:val="000000"/>
                <w:sz w:val="19"/>
                <w:szCs w:val="19"/>
              </w:rPr>
              <w:t xml:space="preserve">—</w:t>
            </w:r>
          </w:p>
        </w:tc>
      </w:tr>
      <w:tr>
        <w:tc>
          <w:tcPr>
            <w:tcW w:type="dxa" w:w="2400"/>
            <w:tcMar>
              <w:top w:type="dxa" w:w="60"/>
              <w:left w:type="dxa" w:w="100"/>
              <w:bottom w:type="dxa" w:w="60"/>
              <w:right w:type="dxa" w:w="100"/>
            </w:tcMar>
          </w:tcPr>
          <w:p>
            <w:r>
              <w:rPr>
                <w:b w:val="false"/>
                <w:bCs w:val="false"/>
                <w:color w:val="000000"/>
                <w:sz w:val="19"/>
                <w:szCs w:val="19"/>
              </w:rPr>
              <w:t xml:space="preserve">Random Forest (tuned)</w:t>
            </w:r>
          </w:p>
        </w:tc>
        <w:tc>
          <w:tcPr>
            <w:tcW w:type="dxa" w:w="1500"/>
            <w:tcMar>
              <w:top w:type="dxa" w:w="60"/>
              <w:left w:type="dxa" w:w="100"/>
              <w:bottom w:type="dxa" w:w="60"/>
              <w:right w:type="dxa" w:w="100"/>
            </w:tcMar>
          </w:tcPr>
          <w:p>
            <w:r>
              <w:rPr>
                <w:b w:val="false"/>
                <w:bCs w:val="false"/>
                <w:color w:val="000000"/>
                <w:sz w:val="19"/>
                <w:szCs w:val="19"/>
              </w:rPr>
              <w:t xml:space="preserve">0.8678</w:t>
            </w:r>
          </w:p>
        </w:tc>
        <w:tc>
          <w:tcPr>
            <w:tcW w:type="dxa" w:w="1500"/>
            <w:tcMar>
              <w:top w:type="dxa" w:w="60"/>
              <w:left w:type="dxa" w:w="100"/>
              <w:bottom w:type="dxa" w:w="60"/>
              <w:right w:type="dxa" w:w="100"/>
            </w:tcMar>
          </w:tcPr>
          <w:p>
            <w:r>
              <w:rPr>
                <w:b w:val="false"/>
                <w:bCs w:val="false"/>
                <w:color w:val="000000"/>
                <w:sz w:val="19"/>
                <w:szCs w:val="19"/>
              </w:rPr>
              <w:t xml:space="preserve">—</w:t>
            </w:r>
          </w:p>
        </w:tc>
        <w:tc>
          <w:tcPr>
            <w:tcW w:type="dxa" w:w="1600"/>
            <w:tcMar>
              <w:top w:type="dxa" w:w="60"/>
              <w:left w:type="dxa" w:w="100"/>
              <w:bottom w:type="dxa" w:w="60"/>
              <w:right w:type="dxa" w:w="100"/>
            </w:tcMar>
          </w:tcPr>
          <w:p>
            <w:r>
              <w:rPr>
                <w:b w:val="false"/>
                <w:bCs w:val="false"/>
                <w:color w:val="000000"/>
                <w:sz w:val="19"/>
                <w:szCs w:val="19"/>
              </w:rPr>
              <w:t xml:space="preserve">—</w:t>
            </w:r>
          </w:p>
        </w:tc>
        <w:tc>
          <w:tcPr>
            <w:tcW w:type="dxa" w:w="1600"/>
            <w:tcMar>
              <w:top w:type="dxa" w:w="60"/>
              <w:left w:type="dxa" w:w="100"/>
              <w:bottom w:type="dxa" w:w="60"/>
              <w:right w:type="dxa" w:w="100"/>
            </w:tcMar>
          </w:tcPr>
          <w:p>
            <w:r>
              <w:rPr>
                <w:b w:val="false"/>
                <w:bCs w:val="false"/>
                <w:color w:val="000000"/>
                <w:sz w:val="19"/>
                <w:szCs w:val="19"/>
              </w:rPr>
              <w:t xml:space="preserve">0.6906</w:t>
            </w:r>
          </w:p>
        </w:tc>
        <w:tc>
          <w:tcPr>
            <w:tcW w:type="dxa" w:w="1440"/>
            <w:tcMar>
              <w:top w:type="dxa" w:w="60"/>
              <w:left w:type="dxa" w:w="100"/>
              <w:bottom w:type="dxa" w:w="60"/>
              <w:right w:type="dxa" w:w="100"/>
            </w:tcMar>
          </w:tcPr>
          <w:p>
            <w:r>
              <w:rPr>
                <w:b w:val="false"/>
                <w:bCs w:val="false"/>
                <w:color w:val="000000"/>
                <w:sz w:val="19"/>
                <w:szCs w:val="19"/>
              </w:rPr>
              <w:t xml:space="preserve">—</w:t>
            </w:r>
          </w:p>
        </w:tc>
      </w:tr>
      <w:tr>
        <w:tc>
          <w:tcPr>
            <w:tcW w:type="dxa" w:w="2400"/>
            <w:tcMar>
              <w:top w:type="dxa" w:w="60"/>
              <w:left w:type="dxa" w:w="100"/>
              <w:bottom w:type="dxa" w:w="60"/>
              <w:right w:type="dxa" w:w="100"/>
            </w:tcMar>
          </w:tcPr>
          <w:p>
            <w:r>
              <w:rPr>
                <w:b w:val="false"/>
                <w:bCs w:val="false"/>
                <w:color w:val="000000"/>
                <w:sz w:val="19"/>
                <w:szCs w:val="19"/>
              </w:rPr>
              <w:t xml:space="preserve">HistGradientBoosting (tuned)</w:t>
            </w:r>
          </w:p>
        </w:tc>
        <w:tc>
          <w:tcPr>
            <w:tcW w:type="dxa" w:w="1500"/>
            <w:tcMar>
              <w:top w:type="dxa" w:w="60"/>
              <w:left w:type="dxa" w:w="100"/>
              <w:bottom w:type="dxa" w:w="60"/>
              <w:right w:type="dxa" w:w="100"/>
            </w:tcMar>
          </w:tcPr>
          <w:p>
            <w:r>
              <w:rPr>
                <w:b w:val="false"/>
                <w:bCs w:val="false"/>
                <w:color w:val="000000"/>
                <w:sz w:val="19"/>
                <w:szCs w:val="19"/>
              </w:rPr>
              <w:t xml:space="preserve">[fill from run]</w:t>
            </w:r>
          </w:p>
        </w:tc>
        <w:tc>
          <w:tcPr>
            <w:tcW w:type="dxa" w:w="1500"/>
            <w:tcMar>
              <w:top w:type="dxa" w:w="60"/>
              <w:left w:type="dxa" w:w="100"/>
              <w:bottom w:type="dxa" w:w="60"/>
              <w:right w:type="dxa" w:w="100"/>
            </w:tcMar>
          </w:tcPr>
          <w:p>
            <w:r>
              <w:rPr>
                <w:b w:val="false"/>
                <w:bCs w:val="false"/>
                <w:color w:val="000000"/>
                <w:sz w:val="19"/>
                <w:szCs w:val="19"/>
              </w:rPr>
              <w:t xml:space="preserve">[fill from run]</w:t>
            </w:r>
          </w:p>
        </w:tc>
        <w:tc>
          <w:tcPr>
            <w:tcW w:type="dxa" w:w="1600"/>
            <w:tcMar>
              <w:top w:type="dxa" w:w="60"/>
              <w:left w:type="dxa" w:w="100"/>
              <w:bottom w:type="dxa" w:w="60"/>
              <w:right w:type="dxa" w:w="100"/>
            </w:tcMar>
          </w:tcPr>
          <w:p>
            <w:r>
              <w:rPr>
                <w:b w:val="false"/>
                <w:bCs w:val="false"/>
                <w:color w:val="000000"/>
                <w:sz w:val="19"/>
                <w:szCs w:val="19"/>
              </w:rPr>
              <w:t xml:space="preserve">[fill from run]</w:t>
            </w:r>
          </w:p>
        </w:tc>
        <w:tc>
          <w:tcPr>
            <w:tcW w:type="dxa" w:w="1600"/>
            <w:tcMar>
              <w:top w:type="dxa" w:w="60"/>
              <w:left w:type="dxa" w:w="100"/>
              <w:bottom w:type="dxa" w:w="60"/>
              <w:right w:type="dxa" w:w="100"/>
            </w:tcMar>
          </w:tcPr>
          <w:p>
            <w:r>
              <w:rPr>
                <w:b w:val="false"/>
                <w:bCs w:val="false"/>
                <w:color w:val="000000"/>
                <w:sz w:val="19"/>
                <w:szCs w:val="19"/>
              </w:rPr>
              <w:t xml:space="preserve">[fill from run]</w:t>
            </w:r>
          </w:p>
        </w:tc>
        <w:tc>
          <w:tcPr>
            <w:tcW w:type="dxa" w:w="1440"/>
            <w:tcMar>
              <w:top w:type="dxa" w:w="60"/>
              <w:left w:type="dxa" w:w="100"/>
              <w:bottom w:type="dxa" w:w="60"/>
              <w:right w:type="dxa" w:w="100"/>
            </w:tcMar>
          </w:tcPr>
          <w:p>
            <w:r>
              <w:rPr>
                <w:b w:val="false"/>
                <w:bCs w:val="false"/>
                <w:color w:val="000000"/>
                <w:sz w:val="19"/>
                <w:szCs w:val="19"/>
              </w:rPr>
              <w:t xml:space="preserve">[fill from run]</w:t>
            </w:r>
          </w:p>
        </w:tc>
      </w:tr>
      <w:tr>
        <w:tc>
          <w:tcPr>
            <w:tcW w:type="dxa" w:w="2400"/>
            <w:tcMar>
              <w:top w:type="dxa" w:w="60"/>
              <w:left w:type="dxa" w:w="100"/>
              <w:bottom w:type="dxa" w:w="60"/>
              <w:right w:type="dxa" w:w="100"/>
            </w:tcMar>
          </w:tcPr>
          <w:p>
            <w:r>
              <w:rPr>
                <w:b w:val="false"/>
                <w:bCs w:val="false"/>
                <w:color w:val="000000"/>
                <w:sz w:val="19"/>
                <w:szCs w:val="19"/>
              </w:rPr>
              <w:t xml:space="preserve">FINAL (calibrated, tuned threshold)</w:t>
            </w:r>
          </w:p>
        </w:tc>
        <w:tc>
          <w:tcPr>
            <w:tcW w:type="dxa" w:w="1500"/>
            <w:tcMar>
              <w:top w:type="dxa" w:w="60"/>
              <w:left w:type="dxa" w:w="100"/>
              <w:bottom w:type="dxa" w:w="60"/>
              <w:right w:type="dxa" w:w="100"/>
            </w:tcMar>
          </w:tcPr>
          <w:p>
            <w:r>
              <w:rPr>
                <w:b w:val="false"/>
                <w:bCs w:val="false"/>
                <w:color w:val="000000"/>
                <w:sz w:val="19"/>
                <w:szCs w:val="19"/>
              </w:rPr>
              <w:t xml:space="preserve">[fill from run]</w:t>
            </w:r>
          </w:p>
        </w:tc>
        <w:tc>
          <w:tcPr>
            <w:tcW w:type="dxa" w:w="1500"/>
            <w:tcMar>
              <w:top w:type="dxa" w:w="60"/>
              <w:left w:type="dxa" w:w="100"/>
              <w:bottom w:type="dxa" w:w="60"/>
              <w:right w:type="dxa" w:w="100"/>
            </w:tcMar>
          </w:tcPr>
          <w:p>
            <w:r>
              <w:rPr>
                <w:b w:val="false"/>
                <w:bCs w:val="false"/>
                <w:color w:val="000000"/>
                <w:sz w:val="19"/>
                <w:szCs w:val="19"/>
              </w:rPr>
              <w:t xml:space="preserve">[fill from run]</w:t>
            </w:r>
          </w:p>
        </w:tc>
        <w:tc>
          <w:tcPr>
            <w:tcW w:type="dxa" w:w="1600"/>
            <w:tcMar>
              <w:top w:type="dxa" w:w="60"/>
              <w:left w:type="dxa" w:w="100"/>
              <w:bottom w:type="dxa" w:w="60"/>
              <w:right w:type="dxa" w:w="100"/>
            </w:tcMar>
          </w:tcPr>
          <w:p>
            <w:r>
              <w:rPr>
                <w:b w:val="false"/>
                <w:bCs w:val="false"/>
                <w:color w:val="000000"/>
                <w:sz w:val="19"/>
                <w:szCs w:val="19"/>
              </w:rPr>
              <w:t xml:space="preserve">[fill from run]</w:t>
            </w:r>
          </w:p>
        </w:tc>
        <w:tc>
          <w:tcPr>
            <w:tcW w:type="dxa" w:w="1600"/>
            <w:tcMar>
              <w:top w:type="dxa" w:w="60"/>
              <w:left w:type="dxa" w:w="100"/>
              <w:bottom w:type="dxa" w:w="60"/>
              <w:right w:type="dxa" w:w="100"/>
            </w:tcMar>
          </w:tcPr>
          <w:p>
            <w:r>
              <w:rPr>
                <w:b w:val="false"/>
                <w:bCs w:val="false"/>
                <w:color w:val="000000"/>
                <w:sz w:val="19"/>
                <w:szCs w:val="19"/>
              </w:rPr>
              <w:t xml:space="preserve">[fill from run]</w:t>
            </w:r>
          </w:p>
        </w:tc>
        <w:tc>
          <w:tcPr>
            <w:tcW w:type="dxa" w:w="1440"/>
            <w:tcMar>
              <w:top w:type="dxa" w:w="60"/>
              <w:left w:type="dxa" w:w="100"/>
              <w:bottom w:type="dxa" w:w="60"/>
              <w:right w:type="dxa" w:w="100"/>
            </w:tcMar>
          </w:tcPr>
          <w:p>
            <w:r>
              <w:rPr>
                <w:b w:val="false"/>
                <w:bCs w:val="false"/>
                <w:color w:val="000000"/>
                <w:sz w:val="19"/>
                <w:szCs w:val="19"/>
              </w:rPr>
              <w:t xml:space="preserve">[fill from run]</w:t>
            </w:r>
          </w:p>
        </w:tc>
      </w:tr>
    </w:tbl>
    <w:p>
      <w:pPr>
        <w:spacing w:after="120"/>
      </w:pPr>
    </w:p>
    <w:p>
      <w:pPr>
        <w:spacing w:after="140"/>
      </w:pPr>
      <w:r>
        <w:t xml:space="preserve">* Precision/Recall shown for Logistic Regression at the default 0.50 threshold, prior to calibration/threshold tuning, for reference. The threshold search below (Section 4 of the notebook) re-derives the operating threshold from out-of-fold predictions on training data only.</w:t>
      </w:r>
    </w:p>
    <w:p>
      <w:pPr>
        <w:pStyle w:val="Heading2"/>
        <w:spacing w:after="100" w:before="200"/>
      </w:pPr>
      <w:r>
        <w:t xml:space="preserve">Threshold tuning — before / after (illustrative run, Logistic Regression)</w:t>
      </w:r>
    </w:p>
    <w:p>
      <w:pPr>
        <w:spacing w:after="140"/>
      </w:pPr>
      <w:r>
        <w:t xml:space="preserve">Out-of-fold F1 on training data peaked at threshold = 0.34 (F1 = 0.6998), versus 0.6736 at the default 0.50. Applied to the held-out test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3060"/>
      </w:tblGrid>
      <w:tr>
        <w:trPr>
          <w:tblHeader/>
        </w:trPr>
        <w:tc>
          <w:tcPr>
            <w:tcW w:type="dxa" w:w="3600"/>
            <w:shd w:fill="1F2A44" w:val="clear"/>
            <w:tcMar>
              <w:top w:type="dxa" w:w="60"/>
              <w:left w:type="dxa" w:w="100"/>
              <w:bottom w:type="dxa" w:w="60"/>
              <w:right w:type="dxa" w:w="100"/>
            </w:tcMar>
          </w:tcPr>
          <w:p>
            <w:r>
              <w:rPr>
                <w:b/>
                <w:bCs/>
                <w:color w:val="FFFFFF"/>
                <w:sz w:val="19"/>
                <w:szCs w:val="19"/>
              </w:rPr>
              <w:t xml:space="preserve"/>
            </w:r>
          </w:p>
        </w:tc>
        <w:tc>
          <w:tcPr>
            <w:tcW w:type="dxa" w:w="3060"/>
            <w:shd w:fill="1F2A44" w:val="clear"/>
            <w:tcMar>
              <w:top w:type="dxa" w:w="60"/>
              <w:left w:type="dxa" w:w="100"/>
              <w:bottom w:type="dxa" w:w="60"/>
              <w:right w:type="dxa" w:w="100"/>
            </w:tcMar>
          </w:tcPr>
          <w:p>
            <w:r>
              <w:rPr>
                <w:b/>
                <w:bCs/>
                <w:color w:val="FFFFFF"/>
                <w:sz w:val="19"/>
                <w:szCs w:val="19"/>
              </w:rPr>
              <w:t xml:space="preserve">Predicted ≤ 50K</w:t>
            </w:r>
          </w:p>
        </w:tc>
        <w:tc>
          <w:tcPr>
            <w:tcW w:type="dxa" w:w="3060"/>
            <w:shd w:fill="1F2A44" w:val="clear"/>
            <w:tcMar>
              <w:top w:type="dxa" w:w="60"/>
              <w:left w:type="dxa" w:w="100"/>
              <w:bottom w:type="dxa" w:w="60"/>
              <w:right w:type="dxa" w:w="100"/>
            </w:tcMar>
          </w:tcPr>
          <w:p>
            <w:r>
              <w:rPr>
                <w:b/>
                <w:bCs/>
                <w:color w:val="FFFFFF"/>
                <w:sz w:val="19"/>
                <w:szCs w:val="19"/>
              </w:rPr>
              <w:t xml:space="preserve">Predicted &gt; 50K</w:t>
            </w:r>
          </w:p>
        </w:tc>
      </w:tr>
      <w:tr>
        <w:tc>
          <w:tcPr>
            <w:tcW w:type="dxa" w:w="3600"/>
            <w:tcMar>
              <w:top w:type="dxa" w:w="60"/>
              <w:left w:type="dxa" w:w="100"/>
              <w:bottom w:type="dxa" w:w="60"/>
              <w:right w:type="dxa" w:w="100"/>
            </w:tcMar>
          </w:tcPr>
          <w:p>
            <w:r>
              <w:rPr>
                <w:b w:val="false"/>
                <w:bCs w:val="false"/>
                <w:color w:val="000000"/>
                <w:sz w:val="19"/>
                <w:szCs w:val="19"/>
              </w:rPr>
              <w:t xml:space="preserve">Actual ≤ 50K  (threshold 0.50)</w:t>
            </w:r>
          </w:p>
        </w:tc>
        <w:tc>
          <w:tcPr>
            <w:tcW w:type="dxa" w:w="3060"/>
            <w:tcMar>
              <w:top w:type="dxa" w:w="60"/>
              <w:left w:type="dxa" w:w="100"/>
              <w:bottom w:type="dxa" w:w="60"/>
              <w:right w:type="dxa" w:w="100"/>
            </w:tcMar>
          </w:tcPr>
          <w:p>
            <w:r>
              <w:rPr>
                <w:b w:val="false"/>
                <w:bCs w:val="false"/>
                <w:color w:val="000000"/>
                <w:sz w:val="19"/>
                <w:szCs w:val="19"/>
              </w:rPr>
              <w:t xml:space="preserve">6,979</w:t>
            </w:r>
          </w:p>
        </w:tc>
        <w:tc>
          <w:tcPr>
            <w:tcW w:type="dxa" w:w="3060"/>
            <w:tcMar>
              <w:top w:type="dxa" w:w="60"/>
              <w:left w:type="dxa" w:w="100"/>
              <w:bottom w:type="dxa" w:w="60"/>
              <w:right w:type="dxa" w:w="100"/>
            </w:tcMar>
          </w:tcPr>
          <w:p>
            <w:r>
              <w:rPr>
                <w:b w:val="false"/>
                <w:bCs w:val="false"/>
                <w:color w:val="000000"/>
                <w:sz w:val="19"/>
                <w:szCs w:val="19"/>
              </w:rPr>
              <w:t xml:space="preserve">452</w:t>
            </w:r>
          </w:p>
        </w:tc>
      </w:tr>
      <w:tr>
        <w:tc>
          <w:tcPr>
            <w:tcW w:type="dxa" w:w="3600"/>
            <w:tcMar>
              <w:top w:type="dxa" w:w="60"/>
              <w:left w:type="dxa" w:w="100"/>
              <w:bottom w:type="dxa" w:w="60"/>
              <w:right w:type="dxa" w:w="100"/>
            </w:tcMar>
          </w:tcPr>
          <w:p>
            <w:r>
              <w:rPr>
                <w:b w:val="false"/>
                <w:bCs w:val="false"/>
                <w:color w:val="000000"/>
                <w:sz w:val="19"/>
                <w:szCs w:val="19"/>
              </w:rPr>
              <w:t xml:space="preserve">Actual &gt; 50K  (threshold 0.50)</w:t>
            </w:r>
          </w:p>
        </w:tc>
        <w:tc>
          <w:tcPr>
            <w:tcW w:type="dxa" w:w="3060"/>
            <w:tcMar>
              <w:top w:type="dxa" w:w="60"/>
              <w:left w:type="dxa" w:w="100"/>
              <w:bottom w:type="dxa" w:w="60"/>
              <w:right w:type="dxa" w:w="100"/>
            </w:tcMar>
          </w:tcPr>
          <w:p>
            <w:r>
              <w:rPr>
                <w:b w:val="false"/>
                <w:bCs w:val="false"/>
                <w:color w:val="000000"/>
                <w:sz w:val="19"/>
                <w:szCs w:val="19"/>
              </w:rPr>
              <w:t xml:space="preserve">921</w:t>
            </w:r>
          </w:p>
        </w:tc>
        <w:tc>
          <w:tcPr>
            <w:tcW w:type="dxa" w:w="3060"/>
            <w:tcMar>
              <w:top w:type="dxa" w:w="60"/>
              <w:left w:type="dxa" w:w="100"/>
              <w:bottom w:type="dxa" w:w="60"/>
              <w:right w:type="dxa" w:w="100"/>
            </w:tcMar>
          </w:tcPr>
          <w:p>
            <w:r>
              <w:rPr>
                <w:b w:val="false"/>
                <w:bCs w:val="false"/>
                <w:color w:val="000000"/>
                <w:sz w:val="19"/>
                <w:szCs w:val="19"/>
              </w:rPr>
              <w:t xml:space="preserve">1,417</w:t>
            </w:r>
          </w:p>
        </w:tc>
      </w:tr>
      <w:tr>
        <w:tc>
          <w:tcPr>
            <w:tcW w:type="dxa" w:w="3600"/>
            <w:tcMar>
              <w:top w:type="dxa" w:w="60"/>
              <w:left w:type="dxa" w:w="100"/>
              <w:bottom w:type="dxa" w:w="60"/>
              <w:right w:type="dxa" w:w="100"/>
            </w:tcMar>
          </w:tcPr>
          <w:p>
            <w:r>
              <w:rPr>
                <w:b w:val="false"/>
                <w:bCs w:val="false"/>
                <w:color w:val="000000"/>
                <w:sz w:val="19"/>
                <w:szCs w:val="19"/>
              </w:rPr>
              <w:t xml:space="preserve">Actual ≤ 50K  (threshold 0.34, tuned)</w:t>
            </w:r>
          </w:p>
        </w:tc>
        <w:tc>
          <w:tcPr>
            <w:tcW w:type="dxa" w:w="3060"/>
            <w:tcMar>
              <w:top w:type="dxa" w:w="60"/>
              <w:left w:type="dxa" w:w="100"/>
              <w:bottom w:type="dxa" w:w="60"/>
              <w:right w:type="dxa" w:w="100"/>
            </w:tcMar>
          </w:tcPr>
          <w:p>
            <w:r>
              <w:rPr>
                <w:b w:val="false"/>
                <w:bCs w:val="false"/>
                <w:color w:val="000000"/>
                <w:sz w:val="19"/>
                <w:szCs w:val="19"/>
              </w:rPr>
              <w:t xml:space="preserve">6,492</w:t>
            </w:r>
          </w:p>
        </w:tc>
        <w:tc>
          <w:tcPr>
            <w:tcW w:type="dxa" w:w="3060"/>
            <w:tcMar>
              <w:top w:type="dxa" w:w="60"/>
              <w:left w:type="dxa" w:w="100"/>
              <w:bottom w:type="dxa" w:w="60"/>
              <w:right w:type="dxa" w:w="100"/>
            </w:tcMar>
          </w:tcPr>
          <w:p>
            <w:r>
              <w:rPr>
                <w:b w:val="false"/>
                <w:bCs w:val="false"/>
                <w:color w:val="000000"/>
                <w:sz w:val="19"/>
                <w:szCs w:val="19"/>
              </w:rPr>
              <w:t xml:space="preserve">939</w:t>
            </w:r>
          </w:p>
        </w:tc>
      </w:tr>
      <w:tr>
        <w:tc>
          <w:tcPr>
            <w:tcW w:type="dxa" w:w="3600"/>
            <w:tcMar>
              <w:top w:type="dxa" w:w="60"/>
              <w:left w:type="dxa" w:w="100"/>
              <w:bottom w:type="dxa" w:w="60"/>
              <w:right w:type="dxa" w:w="100"/>
            </w:tcMar>
          </w:tcPr>
          <w:p>
            <w:r>
              <w:rPr>
                <w:b w:val="false"/>
                <w:bCs w:val="false"/>
                <w:color w:val="000000"/>
                <w:sz w:val="19"/>
                <w:szCs w:val="19"/>
              </w:rPr>
              <w:t xml:space="preserve">Actual &gt; 50K  (threshold 0.34, tuned)</w:t>
            </w:r>
          </w:p>
        </w:tc>
        <w:tc>
          <w:tcPr>
            <w:tcW w:type="dxa" w:w="3060"/>
            <w:tcMar>
              <w:top w:type="dxa" w:w="60"/>
              <w:left w:type="dxa" w:w="100"/>
              <w:bottom w:type="dxa" w:w="60"/>
              <w:right w:type="dxa" w:w="100"/>
            </w:tcMar>
          </w:tcPr>
          <w:p>
            <w:r>
              <w:rPr>
                <w:b w:val="false"/>
                <w:bCs w:val="false"/>
                <w:color w:val="000000"/>
                <w:sz w:val="19"/>
                <w:szCs w:val="19"/>
              </w:rPr>
              <w:t xml:space="preserve">552</w:t>
            </w:r>
          </w:p>
        </w:tc>
        <w:tc>
          <w:tcPr>
            <w:tcW w:type="dxa" w:w="3060"/>
            <w:tcMar>
              <w:top w:type="dxa" w:w="60"/>
              <w:left w:type="dxa" w:w="100"/>
              <w:bottom w:type="dxa" w:w="60"/>
              <w:right w:type="dxa" w:w="100"/>
            </w:tcMar>
          </w:tcPr>
          <w:p>
            <w:r>
              <w:rPr>
                <w:b w:val="false"/>
                <w:bCs w:val="false"/>
                <w:color w:val="000000"/>
                <w:sz w:val="19"/>
                <w:szCs w:val="19"/>
              </w:rPr>
              <w:t xml:space="preserve">1,786</w:t>
            </w:r>
          </w:p>
        </w:tc>
      </w:tr>
    </w:tbl>
    <w:p>
      <w:pPr>
        <w:spacing w:after="140"/>
      </w:pPr>
      <w:r>
        <w:t xml:space="preserve">The tuned threshold trades roughly 10 points of precision for about 16 points of recall — deliberately, per the cost framing in Section 9. [Re-run Section 1.6–1.7 of the notebook for the actual final model and confirm this table with its own numbers before submitting.]</w:t>
      </w:r>
    </w:p>
    <w:p>
      <w:pPr>
        <w:pStyle w:val="Heading1"/>
        <w:spacing w:after="120" w:before="280"/>
      </w:pPr>
      <w:r>
        <w:t xml:space="preserve">7. Model Interpretation</w:t>
      </w:r>
    </w:p>
    <w:p>
      <w:pPr>
        <w:spacing w:after="140"/>
      </w:pPr>
      <w:r>
        <w:t xml:space="preserve">Top features and their direction are read directly off the final model's coefficients (Logistic Regression) or feature importances (Random Forest / HistGradientBoosting) — see outputs/feature_importance.png. [Fill in: the top 3–5 features from your run, their direction, and whether any demographic attribute ranks unexpectedly high — see the notebook's Task 3.1 guidance cell for the checklist.]</w:t>
      </w:r>
    </w:p>
    <w:p>
      <w:pPr>
        <w:spacing w:after="140"/>
      </w:pPr>
      <w:r>
        <w:t xml:space="preserve">Subgroup performance (by sex and race) was computed on the test set to check whether aggregate F1 is masking uneven performance across groups — see outputs/subgroup_performance.csv. [Fill in: any subgroup whose recall trails materially behind the others, and what that implies for deployment.]</w:t>
      </w:r>
    </w:p>
    <w:p>
      <w:pPr>
        <w:pStyle w:val="Heading1"/>
        <w:spacing w:after="120" w:before="280"/>
      </w:pPr>
      <w:r>
        <w:t xml:space="preserve">8. Production Readiness</w:t>
      </w:r>
    </w:p>
    <w:p>
      <w:pPr>
        <w:spacing w:after="140"/>
      </w:pPr>
      <w:r>
        <w:t xml:space="preserve">A single canonical artifact (outputs/final_model.joblib) bundles the calibrated model, the tuned threshold, and the full metrics dict together — there is exactly one place a caller looks for “which threshold do I use,” which was not true of the Day-4 submission (a threshold was derived correctly but the artifact that got saved used a hardcoded 0.50 instead).</w:t>
      </w:r>
    </w:p>
    <w:p>
      <w:pPr>
        <w:spacing w:after="140"/>
      </w:pPr>
      <w:r>
        <w:t xml:space="preserve">Data-leakage checks passed: train/test indices are disjoint, zero duplicate rows are shared across the split, all preprocessing fits happen inside the pipeline/CV boundary, and re-derived test F1 for the Day-4 models matched the originally reported values within 1e-3, confirming the same split was reproduced rather than a coincidentally similar one.</w:t>
      </w:r>
    </w:p>
    <w:p>
      <w:pPr>
        <w:spacing w:after="140"/>
      </w:pPr>
      <w:r>
        <w:t xml:space="preserve">Inference is exposed as src/inference.py, independent of the notebook: it loads the artifact, validates the input schema, applies the pipeline's own preprocessing (no manual re-implementation), and returns probability + thresholded prediction. Verified on 10 held-out, never-trained-on rows plus a reload round-trip check on the saved artifact.</w:t>
      </w:r>
    </w:p>
    <w:p>
      <w:pPr>
        <w:pStyle w:val="Heading1"/>
        <w:spacing w:after="120" w:before="280"/>
      </w:pPr>
      <w:r>
        <w:t xml:space="preserve">9. Limitations &amp; Future Improvements</w:t>
      </w:r>
    </w:p>
    <w:p>
      <w:pPr>
        <w:pStyle w:val="ListParagraph"/>
        <w:numPr>
          <w:ilvl w:val="0"/>
          <w:numId w:val="2"/>
        </w:numPr>
        <w:spacing w:after="60"/>
      </w:pPr>
      <w:r>
        <w:t xml:space="preserve">The dataset's category definitions and income distribution reflect its original collection period and U.S. context — the model should not be assumed to generalize to other regions or eras without retraining.</w:t>
      </w:r>
    </w:p>
    <w:p>
      <w:pPr>
        <w:pStyle w:val="ListParagraph"/>
        <w:numPr>
          <w:ilvl w:val="0"/>
          <w:numId w:val="2"/>
        </w:numPr>
        <w:spacing w:after="60"/>
      </w:pPr>
      <w:r>
        <w:t xml:space="preserve">fnlwgt is retained as a numeric feature per the original schema but has no causal link to income; worth dropping or replacing if interpretability is a hard requirement downstream.</w:t>
      </w:r>
    </w:p>
    <w:p>
      <w:pPr>
        <w:pStyle w:val="ListParagraph"/>
        <w:numPr>
          <w:ilvl w:val="0"/>
          <w:numId w:val="2"/>
        </w:numPr>
        <w:spacing w:after="60"/>
      </w:pPr>
      <w:r>
        <w:t xml:space="preserve">The 0.34 threshold assumes false negatives (missed qualifiers) are costlier than false positives. If deployment reality is the opposite, the threshold must be re-derived against a different objective, not reused.</w:t>
      </w:r>
    </w:p>
    <w:p>
      <w:pPr>
        <w:pStyle w:val="ListParagraph"/>
        <w:numPr>
          <w:ilvl w:val="0"/>
          <w:numId w:val="2"/>
        </w:numPr>
        <w:spacing w:after="60"/>
      </w:pPr>
      <w:r>
        <w:t xml:space="preserve">HistGradientBoosting was added this cycle but not yet stress-tested with a wider hyperparameter search or monotonic constraints; that is the most promising next step given the Random Forest's residual overfitting gap in Section 5.</w:t>
      </w:r>
    </w:p>
    <w:p>
      <w:pPr>
        <w:pStyle w:val="ListParagraph"/>
        <w:numPr>
          <w:ilvl w:val="0"/>
          <w:numId w:val="2"/>
        </w:numPr>
        <w:spacing w:after="60"/>
      </w:pPr>
      <w:r>
        <w:t xml:space="preserve">Subgroup analysis here covers sex and race at an aggregate level; a fuller fairness review would also check intersectional subgroups and calibration-per-subgroup, not just F1-per-subgroup.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2026-09-04T17:09:01.960Z</dcterms:created>
  <dcterms:modified xsi:type="dcterms:W3CDTF">2026-09-04T17:09:01.975Z</dcterms:modified>
</cp:coreProperties>
</file>

<file path=docProps/custom.xml><?xml version="1.0" encoding="utf-8"?>
<Properties xmlns="http://schemas.openxmlformats.org/officeDocument/2006/custom-properties" xmlns:vt="http://schemas.openxmlformats.org/officeDocument/2006/docPropsVTypes"/>
</file>