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What are events in Google analytics?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are user interactions with content that can be tracked independently from a web page or screen load. Examples: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clicks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submissions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plays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Google Analytics 4 (GA4)</w:t>
      </w:r>
      <w:r w:rsidDel="00000000" w:rsidR="00000000" w:rsidRPr="00000000">
        <w:rPr>
          <w:rtl w:val="0"/>
        </w:rPr>
        <w:t xml:space="preserve">, events are the foundation — everything is tracked as an event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2.Connect your created website and blog to search console, analytics, and google tag manager and add your faculty as a user with required permission in it.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Submit the sitemap and robot.txt file in the search console for your website.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sitemap: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https://www.xml-sitemaps.com/download/www.esellerhub.com-49a9239ab/sitemap.xml?view=1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robot.txt:robots.txt generated by www.seoptimer.com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Googlebot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googlebot-image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googlebot-mobile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MSNBot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Slurp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Gigabot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Robozilla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Nutch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naverbot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yeti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yahoo-mmcrawler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psbot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yahoo-blogs/v3.9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User-agent: *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Disallow: /cgi-bin/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Sitemap: https://www.xml-sitemaps.com/download/www.esellerhub.com-49a9239ab/sitemap.xml?view=1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4.Submit the user flow and traffic source reports for your website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Connect your blog to Google Analytics and study the different types of traffic on your site.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324225" cy="432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5.Create a goal for your business and study reports whether it has been completed or not.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Track the following interactions in Google tag manager for www.esellerhub.com ● Link clicks ● Page load ● Time (How long a visitor stayed on a particular page ) ● Button click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xml-sitemaps.com/download/www.esellerhub.com-49a9239ab/sitemap.xml?view=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