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Verdana" w:cs="Verdana" w:eastAsia="Verdana" w:hAnsi="Verdana"/>
          <w:b w:val="1"/>
          <w:sz w:val="24"/>
          <w:szCs w:val="24"/>
        </w:rPr>
      </w:pPr>
      <w:r w:rsidDel="00000000" w:rsidR="00000000" w:rsidRPr="00000000">
        <w:rPr>
          <w:sz w:val="24"/>
          <w:szCs w:val="24"/>
        </w:rPr>
        <w:drawing>
          <wp:inline distB="0" distT="0" distL="0" distR="1270">
            <wp:extent cx="2974808" cy="1433513"/>
            <wp:effectExtent b="0" l="0" r="0" t="0"/>
            <wp:docPr descr="http://www.ressources.polymtl.ca/img2/logo_hautPage.png" id="1" name="image1.png"/>
            <a:graphic>
              <a:graphicData uri="http://schemas.openxmlformats.org/drawingml/2006/picture">
                <pic:pic>
                  <pic:nvPicPr>
                    <pic:cNvPr descr="http://www.ressources.polymtl.ca/img2/logo_hautPage.png" id="0" name="image1.png"/>
                    <pic:cNvPicPr preferRelativeResize="0"/>
                  </pic:nvPicPr>
                  <pic:blipFill>
                    <a:blip r:embed="rId6"/>
                    <a:srcRect b="0" l="0" r="0" t="0"/>
                    <a:stretch>
                      <a:fillRect/>
                    </a:stretch>
                  </pic:blipFill>
                  <pic:spPr>
                    <a:xfrm>
                      <a:off x="0" y="0"/>
                      <a:ext cx="2974808"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b w:val="1"/>
          <w:color w:val="1d2125"/>
          <w:sz w:val="29"/>
          <w:szCs w:val="29"/>
        </w:rPr>
      </w:pPr>
      <w:r w:rsidDel="00000000" w:rsidR="00000000" w:rsidRPr="00000000">
        <w:rPr>
          <w:rFonts w:ascii="Times New Roman" w:cs="Times New Roman" w:eastAsia="Times New Roman" w:hAnsi="Times New Roman"/>
          <w:b w:val="1"/>
          <w:sz w:val="24"/>
          <w:szCs w:val="24"/>
          <w:rtl w:val="0"/>
        </w:rPr>
        <w:t xml:space="preserve">IND8412A - </w:t>
      </w:r>
      <w:r w:rsidDel="00000000" w:rsidR="00000000" w:rsidRPr="00000000">
        <w:rPr>
          <w:rFonts w:ascii="Times New Roman" w:cs="Times New Roman" w:eastAsia="Times New Roman" w:hAnsi="Times New Roman"/>
          <w:b w:val="1"/>
          <w:color w:val="1d2125"/>
          <w:sz w:val="29"/>
          <w:szCs w:val="29"/>
          <w:rtl w:val="0"/>
        </w:rPr>
        <w:t xml:space="preserve">Expérience utilisateur pour le Web</w:t>
      </w:r>
    </w:p>
    <w:p w:rsidR="00000000" w:rsidDel="00000000" w:rsidP="00000000" w:rsidRDefault="00000000" w:rsidRPr="00000000" w14:paraId="00000005">
      <w:pPr>
        <w:spacing w:after="200" w:line="276" w:lineRule="auto"/>
        <w:jc w:val="center"/>
        <w:rPr>
          <w:sz w:val="24"/>
          <w:szCs w:val="24"/>
        </w:rPr>
      </w:pPr>
      <w:r w:rsidDel="00000000" w:rsidR="00000000" w:rsidRPr="00000000">
        <w:rPr>
          <w:rFonts w:ascii="Verdana" w:cs="Verdana" w:eastAsia="Verdana" w:hAnsi="Verdana"/>
          <w:b w:val="1"/>
          <w:sz w:val="24"/>
          <w:szCs w:val="24"/>
          <w:rtl w:val="0"/>
        </w:rPr>
        <w:t xml:space="preserve"> </w:t>
      </w:r>
      <w:r w:rsidDel="00000000" w:rsidR="00000000" w:rsidRPr="00000000">
        <w:rPr>
          <w:rtl w:val="0"/>
        </w:rPr>
      </w:r>
    </w:p>
    <w:p w:rsidR="00000000" w:rsidDel="00000000" w:rsidP="00000000" w:rsidRDefault="00000000" w:rsidRPr="00000000" w14:paraId="00000006">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rFonts w:ascii="Verdana" w:cs="Verdana" w:eastAsia="Verdana" w:hAnsi="Verdana"/>
          <w:b w:val="1"/>
          <w:sz w:val="24"/>
          <w:szCs w:val="24"/>
        </w:rPr>
      </w:pPr>
      <w:bookmarkStart w:colFirst="0" w:colLast="0" w:name="_gjdgxs" w:id="0"/>
      <w:bookmarkEnd w:id="0"/>
      <w:r w:rsidDel="00000000" w:rsidR="00000000" w:rsidRPr="00000000">
        <w:rPr>
          <w:rFonts w:ascii="Verdana" w:cs="Verdana" w:eastAsia="Verdana" w:hAnsi="Verdana"/>
          <w:b w:val="1"/>
          <w:sz w:val="24"/>
          <w:szCs w:val="24"/>
          <w:rtl w:val="0"/>
        </w:rPr>
        <w:t xml:space="preserve">Hiver 2023</w:t>
      </w:r>
    </w:p>
    <w:p w:rsidR="00000000" w:rsidDel="00000000" w:rsidP="00000000" w:rsidRDefault="00000000" w:rsidRPr="00000000" w14:paraId="00000009">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TP  No. 2</w:t>
      </w:r>
    </w:p>
    <w:p w:rsidR="00000000" w:rsidDel="00000000" w:rsidP="00000000" w:rsidRDefault="00000000" w:rsidRPr="00000000" w14:paraId="0000000C">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Can Scholarship</w:t>
      </w:r>
    </w:p>
    <w:p w:rsidR="00000000" w:rsidDel="00000000" w:rsidP="00000000" w:rsidRDefault="00000000" w:rsidRPr="00000000" w14:paraId="0000000D">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10">
      <w:pPr>
        <w:spacing w:after="200" w:line="276" w:lineRule="auto"/>
        <w:jc w:val="center"/>
        <w:rPr>
          <w:sz w:val="24"/>
          <w:szCs w:val="24"/>
        </w:rPr>
      </w:pPr>
      <w:r w:rsidDel="00000000" w:rsidR="00000000" w:rsidRPr="00000000">
        <w:rPr>
          <w:rFonts w:ascii="Verdana" w:cs="Verdana" w:eastAsia="Verdana" w:hAnsi="Verdana"/>
          <w:b w:val="1"/>
          <w:sz w:val="24"/>
          <w:szCs w:val="24"/>
          <w:rtl w:val="0"/>
        </w:rPr>
        <w:t xml:space="preserve">2041659 – Sami Bourai</w:t>
      </w:r>
      <w:r w:rsidDel="00000000" w:rsidR="00000000" w:rsidRPr="00000000">
        <w:rPr>
          <w:rtl w:val="0"/>
        </w:rPr>
      </w:r>
    </w:p>
    <w:p w:rsidR="00000000" w:rsidDel="00000000" w:rsidP="00000000" w:rsidRDefault="00000000" w:rsidRPr="00000000" w14:paraId="00000011">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2018553 - Zakaria Diabi</w:t>
      </w:r>
    </w:p>
    <w:p w:rsidR="00000000" w:rsidDel="00000000" w:rsidP="00000000" w:rsidRDefault="00000000" w:rsidRPr="00000000" w14:paraId="00000012">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1841703 - Yannick Bonou</w:t>
      </w:r>
    </w:p>
    <w:p w:rsidR="00000000" w:rsidDel="00000000" w:rsidP="00000000" w:rsidRDefault="00000000" w:rsidRPr="00000000" w14:paraId="00000013">
      <w:pPr>
        <w:spacing w:after="200" w:line="276"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Soumis à : </w:t>
      </w:r>
      <w:r w:rsidDel="00000000" w:rsidR="00000000" w:rsidRPr="00000000">
        <w:rPr>
          <w:rFonts w:ascii="Verdana" w:cs="Verdana" w:eastAsia="Verdana" w:hAnsi="Verdana"/>
          <w:b w:val="1"/>
          <w:sz w:val="21"/>
          <w:szCs w:val="21"/>
          <w:rtl w:val="0"/>
        </w:rPr>
        <w:t xml:space="preserve">Julie Saulnier</w:t>
      </w:r>
      <w:r w:rsidDel="00000000" w:rsidR="00000000" w:rsidRPr="00000000">
        <w:rPr>
          <w:rtl w:val="0"/>
        </w:rPr>
      </w:r>
    </w:p>
    <w:p w:rsidR="00000000" w:rsidDel="00000000" w:rsidP="00000000" w:rsidRDefault="00000000" w:rsidRPr="00000000" w14:paraId="00000015">
      <w:pPr>
        <w:spacing w:after="200" w:line="276" w:lineRule="auto"/>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17-Avril-2023</w:t>
      </w:r>
    </w:p>
    <w:p w:rsidR="00000000" w:rsidDel="00000000" w:rsidP="00000000" w:rsidRDefault="00000000" w:rsidRPr="00000000" w14:paraId="00000017">
      <w:pPr>
        <w:pStyle w:val="Heading3"/>
        <w:spacing w:after="200" w:line="276" w:lineRule="auto"/>
        <w:rPr/>
      </w:pPr>
      <w:bookmarkStart w:colFirst="0" w:colLast="0" w:name="_knm4xmc3af26" w:id="1"/>
      <w:bookmarkEnd w:id="1"/>
      <w:r w:rsidDel="00000000" w:rsidR="00000000" w:rsidRPr="00000000">
        <w:rPr>
          <w:rtl w:val="0"/>
        </w:rPr>
      </w:r>
    </w:p>
    <w:p w:rsidR="00000000" w:rsidDel="00000000" w:rsidP="00000000" w:rsidRDefault="00000000" w:rsidRPr="00000000" w14:paraId="00000018">
      <w:pPr>
        <w:pStyle w:val="Heading3"/>
        <w:spacing w:after="200" w:line="276" w:lineRule="auto"/>
        <w:rPr/>
      </w:pPr>
      <w:bookmarkStart w:colFirst="0" w:colLast="0" w:name="_9f06266gqi31" w:id="2"/>
      <w:bookmarkEnd w:id="2"/>
      <w:r w:rsidDel="00000000" w:rsidR="00000000" w:rsidRPr="00000000">
        <w:rPr>
          <w:rtl w:val="0"/>
        </w:rPr>
        <w:t xml:space="preserve">Table des matières : </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f06266gqi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oxonif4s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du projet :</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qoef1k0nq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flux de travail :</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e75yg3fmv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des pages gabarits :</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85e1ola7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Schéma d’interfaces avec les spécifications d’interfaces :</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ge0t1vc3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t50821zt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Bilan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lqrimpba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Références :</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3"/>
        <w:spacing w:after="200" w:line="276" w:lineRule="auto"/>
        <w:rPr/>
      </w:pPr>
      <w:bookmarkStart w:colFirst="0" w:colLast="0" w:name="_evy6emketn4l" w:id="3"/>
      <w:bookmarkEnd w:id="3"/>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after="200" w:line="276" w:lineRule="auto"/>
        <w:rPr>
          <w:u w:val="single"/>
        </w:rPr>
      </w:pPr>
      <w:bookmarkStart w:colFirst="0" w:colLast="0" w:name="_9axnjhltdj23" w:id="4"/>
      <w:bookmarkEnd w:id="4"/>
      <w:r w:rsidDel="00000000" w:rsidR="00000000" w:rsidRPr="00000000">
        <w:rPr>
          <w:rtl w:val="0"/>
        </w:rPr>
      </w:r>
    </w:p>
    <w:p w:rsidR="00000000" w:rsidDel="00000000" w:rsidP="00000000" w:rsidRDefault="00000000" w:rsidRPr="00000000" w14:paraId="0000002B">
      <w:pPr>
        <w:pStyle w:val="Heading3"/>
        <w:spacing w:after="200" w:line="276" w:lineRule="auto"/>
        <w:rPr>
          <w:u w:val="single"/>
        </w:rPr>
      </w:pPr>
      <w:bookmarkStart w:colFirst="0" w:colLast="0" w:name="_swf0prnul6iz" w:id="5"/>
      <w:bookmarkEnd w:id="5"/>
      <w:r w:rsidDel="00000000" w:rsidR="00000000" w:rsidRPr="00000000">
        <w:rPr>
          <w:rtl w:val="0"/>
        </w:rPr>
      </w:r>
    </w:p>
    <w:p w:rsidR="00000000" w:rsidDel="00000000" w:rsidP="00000000" w:rsidRDefault="00000000" w:rsidRPr="00000000" w14:paraId="0000002C">
      <w:pPr>
        <w:pStyle w:val="Heading3"/>
        <w:spacing w:after="200" w:line="276" w:lineRule="auto"/>
        <w:rPr>
          <w:u w:val="single"/>
        </w:rPr>
      </w:pPr>
      <w:bookmarkStart w:colFirst="0" w:colLast="0" w:name="_3azp7re14djw" w:id="6"/>
      <w:bookmarkEnd w:id="6"/>
      <w:r w:rsidDel="00000000" w:rsidR="00000000" w:rsidRPr="00000000">
        <w:rPr>
          <w:rtl w:val="0"/>
        </w:rPr>
      </w:r>
    </w:p>
    <w:p w:rsidR="00000000" w:rsidDel="00000000" w:rsidP="00000000" w:rsidRDefault="00000000" w:rsidRPr="00000000" w14:paraId="0000002D">
      <w:pPr>
        <w:pStyle w:val="Heading3"/>
        <w:spacing w:after="200" w:line="276" w:lineRule="auto"/>
        <w:rPr>
          <w:u w:val="single"/>
        </w:rPr>
      </w:pPr>
      <w:bookmarkStart w:colFirst="0" w:colLast="0" w:name="_30j4br7s21iq" w:id="7"/>
      <w:bookmarkEnd w:id="7"/>
      <w:r w:rsidDel="00000000" w:rsidR="00000000" w:rsidRPr="00000000">
        <w:rPr>
          <w:rtl w:val="0"/>
        </w:rPr>
      </w:r>
    </w:p>
    <w:p w:rsidR="00000000" w:rsidDel="00000000" w:rsidP="00000000" w:rsidRDefault="00000000" w:rsidRPr="00000000" w14:paraId="0000002E">
      <w:pPr>
        <w:pStyle w:val="Heading3"/>
        <w:spacing w:after="200" w:line="276" w:lineRule="auto"/>
        <w:rPr>
          <w:u w:val="single"/>
        </w:rPr>
      </w:pPr>
      <w:bookmarkStart w:colFirst="0" w:colLast="0" w:name="_v9b1sevrh1uw" w:id="8"/>
      <w:bookmarkEnd w:id="8"/>
      <w:r w:rsidDel="00000000" w:rsidR="00000000" w:rsidRPr="00000000">
        <w:rPr>
          <w:rtl w:val="0"/>
        </w:rPr>
      </w:r>
    </w:p>
    <w:p w:rsidR="00000000" w:rsidDel="00000000" w:rsidP="00000000" w:rsidRDefault="00000000" w:rsidRPr="00000000" w14:paraId="0000002F">
      <w:pPr>
        <w:pStyle w:val="Heading3"/>
        <w:spacing w:after="200" w:line="276" w:lineRule="auto"/>
        <w:rPr>
          <w:u w:val="single"/>
        </w:rPr>
      </w:pPr>
      <w:bookmarkStart w:colFirst="0" w:colLast="0" w:name="_b343062t7hiw" w:id="9"/>
      <w:bookmarkEnd w:id="9"/>
      <w:r w:rsidDel="00000000" w:rsidR="00000000" w:rsidRPr="00000000">
        <w:rPr>
          <w:rtl w:val="0"/>
        </w:rPr>
      </w:r>
    </w:p>
    <w:p w:rsidR="00000000" w:rsidDel="00000000" w:rsidP="00000000" w:rsidRDefault="00000000" w:rsidRPr="00000000" w14:paraId="00000030">
      <w:pPr>
        <w:pStyle w:val="Heading3"/>
        <w:spacing w:after="200" w:line="276" w:lineRule="auto"/>
        <w:rPr>
          <w:u w:val="single"/>
        </w:rPr>
      </w:pPr>
      <w:bookmarkStart w:colFirst="0" w:colLast="0" w:name="_d8ubmml76kj6" w:id="10"/>
      <w:bookmarkEnd w:id="10"/>
      <w:r w:rsidDel="00000000" w:rsidR="00000000" w:rsidRPr="00000000">
        <w:rPr>
          <w:rtl w:val="0"/>
        </w:rPr>
      </w:r>
    </w:p>
    <w:p w:rsidR="00000000" w:rsidDel="00000000" w:rsidP="00000000" w:rsidRDefault="00000000" w:rsidRPr="00000000" w14:paraId="00000031">
      <w:pPr>
        <w:pStyle w:val="Heading3"/>
        <w:spacing w:after="200" w:line="276" w:lineRule="auto"/>
        <w:rPr>
          <w:u w:val="single"/>
        </w:rPr>
      </w:pPr>
      <w:bookmarkStart w:colFirst="0" w:colLast="0" w:name="_rqaix1v43o95" w:id="11"/>
      <w:bookmarkEnd w:id="11"/>
      <w:r w:rsidDel="00000000" w:rsidR="00000000" w:rsidRPr="00000000">
        <w:rPr>
          <w:rtl w:val="0"/>
        </w:rPr>
      </w:r>
    </w:p>
    <w:p w:rsidR="00000000" w:rsidDel="00000000" w:rsidP="00000000" w:rsidRDefault="00000000" w:rsidRPr="00000000" w14:paraId="00000032">
      <w:pPr>
        <w:pStyle w:val="Heading3"/>
        <w:spacing w:after="200" w:line="276" w:lineRule="auto"/>
        <w:rPr>
          <w:u w:val="single"/>
        </w:rPr>
      </w:pPr>
      <w:bookmarkStart w:colFirst="0" w:colLast="0" w:name="_ypuguhokj7hf" w:id="12"/>
      <w:bookmarkEnd w:id="1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spacing w:after="200" w:line="276" w:lineRule="auto"/>
        <w:rPr/>
      </w:pPr>
      <w:bookmarkStart w:colFirst="0" w:colLast="0" w:name="_akoxonif4spn" w:id="13"/>
      <w:bookmarkEnd w:id="13"/>
      <w:r w:rsidDel="00000000" w:rsidR="00000000" w:rsidRPr="00000000">
        <w:rPr>
          <w:u w:val="single"/>
          <w:rtl w:val="0"/>
        </w:rPr>
        <w:t xml:space="preserve">Présentation du projet</w:t>
      </w:r>
      <w:r w:rsidDel="00000000" w:rsidR="00000000" w:rsidRPr="00000000">
        <w:rPr>
          <w:rtl w:val="0"/>
        </w:rPr>
        <w:t xml:space="preserve"> :</w:t>
      </w:r>
    </w:p>
    <w:p w:rsidR="00000000" w:rsidDel="00000000" w:rsidP="00000000" w:rsidRDefault="00000000" w:rsidRPr="00000000" w14:paraId="00000035">
      <w:pPr>
        <w:spacing w:after="240" w:before="0" w:line="276" w:lineRule="auto"/>
        <w:jc w:val="both"/>
        <w:rPr/>
      </w:pPr>
      <w:r w:rsidDel="00000000" w:rsidR="00000000" w:rsidRPr="00000000">
        <w:rPr>
          <w:rtl w:val="0"/>
        </w:rPr>
        <w:t xml:space="preserve">Le projet de notre site web vise à aider les étudiants à trouver des bourses qui correspondent le mieux à leur profil. Ce travail représente la deuxième partie du projet. Dans la première partie du projet, nous avons présenté l'analyse des besoins des utilisateurs et les caractéristiques de notre public cible. Cette analyse nous a permis de choisir les pages gabarits pour notre site web.</w:t>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Dans cette deuxième partie de notre projet, nous allons présenter un exemple de flux de travail détaillé pour notre site web. Cela nous permettra principalement d'expliquer comment notre site web va fonctionner.</w:t>
      </w:r>
    </w:p>
    <w:p w:rsidR="00000000" w:rsidDel="00000000" w:rsidP="00000000" w:rsidRDefault="00000000" w:rsidRPr="00000000" w14:paraId="00000037">
      <w:pPr>
        <w:spacing w:after="240" w:before="240" w:line="276" w:lineRule="auto"/>
        <w:jc w:val="both"/>
        <w:rPr/>
      </w:pPr>
      <w:r w:rsidDel="00000000" w:rsidR="00000000" w:rsidRPr="00000000">
        <w:rPr>
          <w:rtl w:val="0"/>
        </w:rPr>
        <w:t xml:space="preserve">Ensuite, nous allons présenter les pages gabarit choisies pour notre site web, qui incluent la page d'accueil, la page de Blog, la page de connexion, la page d'inscription, la page de recherche de bourses, et la page de suivi des bourses. On va aussi expliquer pourquoi nous avons choisi ces pages gabarit, comment elles se ressemblent et en quoi elles sont différentes les unes des autres.</w:t>
      </w:r>
    </w:p>
    <w:p w:rsidR="00000000" w:rsidDel="00000000" w:rsidP="00000000" w:rsidRDefault="00000000" w:rsidRPr="00000000" w14:paraId="00000038">
      <w:pPr>
        <w:spacing w:after="240" w:before="240" w:line="276" w:lineRule="auto"/>
        <w:jc w:val="both"/>
        <w:rPr/>
      </w:pPr>
      <w:r w:rsidDel="00000000" w:rsidR="00000000" w:rsidRPr="00000000">
        <w:rPr>
          <w:rtl w:val="0"/>
        </w:rPr>
        <w:t xml:space="preserve">Enfin,  on va présenter les fonctionnalités spécifiques de chacune de ces pages gabarit et comment elles répondent aux besoins des utilisateurs que nous avons identifiés. On va présenter les spécifications d'interfaces, qui incluent les schémas d'interfaces et la description de chacun de ces schémas.</w:t>
      </w:r>
    </w:p>
    <w:p w:rsidR="00000000" w:rsidDel="00000000" w:rsidP="00000000" w:rsidRDefault="00000000" w:rsidRPr="00000000" w14:paraId="00000039">
      <w:pPr>
        <w:spacing w:after="240" w:before="240" w:line="276" w:lineRule="auto"/>
        <w:jc w:val="both"/>
        <w:rPr/>
      </w:pPr>
      <w:r w:rsidDel="00000000" w:rsidR="00000000" w:rsidRPr="00000000">
        <w:rPr>
          <w:rtl w:val="0"/>
        </w:rPr>
        <w:t xml:space="preserve">Dans l'ensemble, ce deuxième rapport nous permettra de décrire un flux de travail, de présenter les pages gabarit de notre site web et de présenter les spécifications d'interfaces. On va montrer comment on a pris en compte les exigences et les besoins des utilisateurs identifiés dans la première partie de notre rapport pour créer un site web utile et efficace pour les étudiants qui cherchent des bourses.</w:t>
      </w:r>
    </w:p>
    <w:p w:rsidR="00000000" w:rsidDel="00000000" w:rsidP="00000000" w:rsidRDefault="00000000" w:rsidRPr="00000000" w14:paraId="0000003A">
      <w:pPr>
        <w:pStyle w:val="Heading3"/>
        <w:spacing w:after="200" w:line="276" w:lineRule="auto"/>
        <w:jc w:val="both"/>
        <w:rPr>
          <w:u w:val="single"/>
        </w:rPr>
      </w:pPr>
      <w:bookmarkStart w:colFirst="0" w:colLast="0" w:name="_vde9t9m0p48s" w:id="14"/>
      <w:bookmarkEnd w:id="14"/>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spacing w:after="200" w:line="276" w:lineRule="auto"/>
        <w:rPr/>
      </w:pPr>
      <w:bookmarkStart w:colFirst="0" w:colLast="0" w:name="_vqoef1k0nq9m" w:id="15"/>
      <w:bookmarkEnd w:id="15"/>
      <w:r w:rsidDel="00000000" w:rsidR="00000000" w:rsidRPr="00000000">
        <w:rPr>
          <w:u w:val="single"/>
          <w:rtl w:val="0"/>
        </w:rPr>
        <w:t xml:space="preserve">Le flux de travail</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Dans la figure 1 que voici ici-bas, on présente le flux de travail de la recherche d’une bourse dans l’application Can Scholarship</w:t>
      </w:r>
      <w:r w:rsidDel="00000000" w:rsidR="00000000" w:rsidRPr="00000000">
        <w:rPr>
          <w:rtl w:val="0"/>
        </w:rPr>
      </w:r>
    </w:p>
    <w:p w:rsidR="00000000" w:rsidDel="00000000" w:rsidP="00000000" w:rsidRDefault="00000000" w:rsidRPr="00000000" w14:paraId="0000003E">
      <w:pPr>
        <w:pStyle w:val="Heading3"/>
        <w:spacing w:after="200" w:line="276" w:lineRule="auto"/>
        <w:rPr>
          <w:u w:val="single"/>
        </w:rPr>
      </w:pPr>
      <w:bookmarkStart w:colFirst="0" w:colLast="0" w:name="_xs5ss1zdg136" w:id="16"/>
      <w:bookmarkEnd w:id="16"/>
      <w:r w:rsidDel="00000000" w:rsidR="00000000" w:rsidRPr="00000000">
        <w:rPr>
          <w:u w:val="single"/>
        </w:rPr>
        <w:drawing>
          <wp:inline distB="114300" distT="114300" distL="114300" distR="114300">
            <wp:extent cx="6442509" cy="65008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42509" cy="65008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Figure #1</w:t>
      </w:r>
      <w:r w:rsidDel="00000000" w:rsidR="00000000" w:rsidRPr="00000000">
        <w:rPr>
          <w:rtl w:val="0"/>
        </w:rPr>
        <w:t xml:space="preserve"> : Flux de travail de la recherche d’une bourse dans Can Scholarship.</w:t>
      </w:r>
    </w:p>
    <w:p w:rsidR="00000000" w:rsidDel="00000000" w:rsidP="00000000" w:rsidRDefault="00000000" w:rsidRPr="00000000" w14:paraId="00000040">
      <w:pPr>
        <w:pStyle w:val="Heading3"/>
        <w:spacing w:after="200" w:line="276" w:lineRule="auto"/>
        <w:rPr>
          <w:u w:val="single"/>
        </w:rPr>
      </w:pPr>
      <w:bookmarkStart w:colFirst="0" w:colLast="0" w:name="_r0joszwh5ka0" w:id="17"/>
      <w:bookmarkEnd w:id="17"/>
      <w:r w:rsidDel="00000000" w:rsidR="00000000" w:rsidRPr="00000000">
        <w:rPr>
          <w:rtl w:val="0"/>
        </w:rPr>
      </w:r>
    </w:p>
    <w:p w:rsidR="00000000" w:rsidDel="00000000" w:rsidP="00000000" w:rsidRDefault="00000000" w:rsidRPr="00000000" w14:paraId="00000041">
      <w:pPr>
        <w:pStyle w:val="Heading3"/>
        <w:spacing w:after="200" w:line="276" w:lineRule="auto"/>
        <w:rPr>
          <w:u w:val="single"/>
        </w:rPr>
      </w:pPr>
      <w:bookmarkStart w:colFirst="0" w:colLast="0" w:name="_njm4oj8m5uyl" w:id="18"/>
      <w:bookmarkEnd w:id="18"/>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after="200" w:line="276" w:lineRule="auto"/>
        <w:rPr/>
      </w:pPr>
      <w:bookmarkStart w:colFirst="0" w:colLast="0" w:name="_le75yg3fmv16" w:id="19"/>
      <w:bookmarkEnd w:id="19"/>
      <w:r w:rsidDel="00000000" w:rsidR="00000000" w:rsidRPr="00000000">
        <w:rPr>
          <w:u w:val="single"/>
          <w:rtl w:val="0"/>
        </w:rPr>
        <w:t xml:space="preserve">Présentation des</w:t>
        <w:tab/>
        <w:t xml:space="preserve">pages gabarits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Nous avons choisi ces pages gabarits pour notre site web de recherche de bourses, car elles sont essentielles pour fournir une expérience utilisateur optimale aux étudiants cherchant des opportunités de financement. On a choisi la page d'accueil, car c’est la première chose que les utilisateurs verront en visitant notre site web et elle contient les différentes sections et pages du site web, il est donc crucial qu'elle soit raffinée, conviviale et intuitive pour que les utilisateurs puissent naviguer facilement vers les différentes sections du site.</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La page Blog, quant à elle, est aussi très importante, car elle représente un excellent moyen de partager des informations et des ressources pertinentes pour les étudiants cherchant des bourses. Elle peut contenir des articles sur les bourses disponibles, des conseils pour postuler aux bourses, des statistiques pour aider les étudiants à comprendre les tendances et les exigences du marché des bourses, etc.</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Les pages de connexion et d'inscription sont importantes et exigent d’être travaillées afin de s’assurer qu’elles sont le plus concises et intuitives possible. Ces pages sont nécessaires pour permettre aux utilisateurs de se connecter et de créer leur compte afin de sauvegarder leurs préférences et de suivre les demandes de bourses qu'ils ont soumises. Cela peut également permettre à l'utilisateur de recevoir des alertes de bourses disponibles correspondant à leur profil et à leurs préférences.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La page Trouver une bourse est l'une des pages les plus importantes de notre site web, car elle permet aux utilisateurs de rechercher des bourses disponibles selon leur profil et leurs critères de sélection. Elle permet également de sauvegarder les bourses préférées et de postuler directement pour ces dernières.</w:t>
      </w:r>
    </w:p>
    <w:p w:rsidR="00000000" w:rsidDel="00000000" w:rsidP="00000000" w:rsidRDefault="00000000" w:rsidRPr="00000000" w14:paraId="00000048">
      <w:pPr>
        <w:spacing w:after="240" w:before="240" w:lineRule="auto"/>
        <w:jc w:val="both"/>
        <w:rPr>
          <w:highlight w:val="yellow"/>
        </w:rPr>
      </w:pPr>
      <w:r w:rsidDel="00000000" w:rsidR="00000000" w:rsidRPr="00000000">
        <w:rPr>
          <w:rtl w:val="0"/>
        </w:rPr>
        <w:t xml:space="preserve">Enfin, la page Suivi de mes bourses est également importante pour aider les utilisateurs à suivre l'état de leur demande de bourse et pour recevoir des alertes sur les bourses auxquelles ils ont appliqué. Elle offre également un moyen de communiquer avec les organismes de bourses et les institutions pour obtenir des informations complémentaires.</w:t>
      </w: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t xml:space="preserve">Les gabarits que nous avons choisis pour notre site web de bourses présentent des différences et des similitudes. Tout d'abord, la page d'accueil et la page blog ont des similitudes en termes de design et de présentation. Elles contiennent toutes deux des images attrayantes et des titres accrocheurs pour attirer l'attention des utilisateurs. Cependant, la page blog a un contenu plus dynamique et changeant que la page d'accueil, avec des articles et des blogs régulièrement mis à jour pour informer les étudiants sur les bourses et opportunités disponibles.</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Les pages de connexion et d'inscription ont des similitudes dans leur design et leur fonctionnalité. Elles permettent toutes deux aux utilisateurs de se connecter ou de créer un compte pour accéder aux fonctionnalités du site, telles que la recherche de bourses personnalisées et le suivi des demandes. Cependant, la page d'inscription offre plus de champs pour les informations de profil, tandis que la page de connexion est plus simple avec seulement deux champs (boîte de courriel et mot de passe).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La page Trouver une bourse et la page Suivi de mes bourses ont des différences importantes. La page Trouver une bourse est conçue pour aider les utilisateurs à trouver les bourses disponibles selon leur profil, leurs intérêts et leur région, etc. Elle offre des filtres avancés pour affiner les résultats de recherche et permet aux utilisateurs de sauvegarder et/ou demander une bourse. La page Suivi de mes bourses est conçue pour aider les utilisateurs à suivre l'état de leurs demandes de bourses, en leur fournissant des informations sur le pipeline de la demande et les éventuelles actions requises. Elle offre également une vue d'ensemble de toutes les bourses auxquelles l'utilisateur a appliqué.</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En somme, nos pages gabarits ont été choisies en raison de leur importance et forte utilisation de ces pages. Elles sont donc cruciales pour offrir une expérience utilisateur personnalisée et facile d'utilisation, avec des designs attrayants et des fonctionnalités pratiques pour aider les étudiants à trouver et à demander des bourses.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e085e1ola707" w:id="20"/>
      <w:bookmarkEnd w:id="20"/>
      <w:r w:rsidDel="00000000" w:rsidR="00000000" w:rsidRPr="00000000">
        <w:rPr>
          <w:rtl w:val="0"/>
        </w:rPr>
        <w:t xml:space="preserve">Schéma d’interfaces avec les spécifications d’interfaces :</w:t>
      </w:r>
    </w:p>
    <w:p w:rsidR="00000000" w:rsidDel="00000000" w:rsidP="00000000" w:rsidRDefault="00000000" w:rsidRPr="00000000" w14:paraId="0000006B">
      <w:pPr>
        <w:rPr/>
      </w:pPr>
      <w:r w:rsidDel="00000000" w:rsidR="00000000" w:rsidRPr="00000000">
        <w:rPr>
          <w:rtl w:val="0"/>
        </w:rPr>
        <w:t xml:space="preserve">Voici maintenant la figure 2, qui présente le schéma d’interfaces avec les spécifications d’interfaces</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Figure #2</w:t>
      </w:r>
      <w:r w:rsidDel="00000000" w:rsidR="00000000" w:rsidRPr="00000000">
        <w:rPr>
          <w:rtl w:val="0"/>
        </w:rPr>
        <w:t xml:space="preserve"> : Schéma d’interfaces avec les spécifications d’interfaces de Can Scholarship.</w:t>
      </w:r>
    </w:p>
    <w:p w:rsidR="00000000" w:rsidDel="00000000" w:rsidP="00000000" w:rsidRDefault="00000000" w:rsidRPr="00000000" w14:paraId="0000006D">
      <w:pPr>
        <w:pStyle w:val="Heading3"/>
        <w:spacing w:after="200" w:line="276" w:lineRule="auto"/>
        <w:rPr/>
      </w:pPr>
      <w:bookmarkStart w:colFirst="0" w:colLast="0" w:name="_u0ge0t1vc3v7" w:id="21"/>
      <w:bookmarkEnd w:id="21"/>
      <w:r w:rsidDel="00000000" w:rsidR="00000000" w:rsidRPr="00000000">
        <w:rPr>
          <w:rtl w:val="0"/>
        </w:rPr>
        <w:t xml:space="preserve">Annexe </w:t>
      </w:r>
    </w:p>
    <w:p w:rsidR="00000000" w:rsidDel="00000000" w:rsidP="00000000" w:rsidRDefault="00000000" w:rsidRPr="00000000" w14:paraId="0000006E">
      <w:pPr>
        <w:pStyle w:val="Heading4"/>
        <w:spacing w:after="200" w:line="276" w:lineRule="auto"/>
        <w:rPr/>
      </w:pPr>
      <w:bookmarkStart w:colFirst="0" w:colLast="0" w:name="_7xt50821ztef" w:id="22"/>
      <w:bookmarkEnd w:id="22"/>
      <w:r w:rsidDel="00000000" w:rsidR="00000000" w:rsidRPr="00000000">
        <w:rPr>
          <w:u w:val="single"/>
          <w:rtl w:val="0"/>
        </w:rPr>
        <w:t xml:space="preserve">Bilan</w:t>
      </w:r>
      <w:r w:rsidDel="00000000" w:rsidR="00000000" w:rsidRPr="00000000">
        <w:rPr>
          <w:rtl w:val="0"/>
        </w:rPr>
        <w:tab/>
      </w:r>
    </w:p>
    <w:p w:rsidR="00000000" w:rsidDel="00000000" w:rsidP="00000000" w:rsidRDefault="00000000" w:rsidRPr="00000000" w14:paraId="0000006F">
      <w:pPr>
        <w:jc w:val="both"/>
        <w:rPr/>
      </w:pPr>
      <w:r w:rsidDel="00000000" w:rsidR="00000000" w:rsidRPr="00000000">
        <w:rPr>
          <w:rtl w:val="0"/>
        </w:rPr>
        <w:t xml:space="preserve">Pour ce travail, en raison de la diversité des tâches à effectuer, nous avons décidé de répartir de manière équitable le travail, que ce soit les sections du rapport, les pages à modéliser à l’aide de l’outil Axure ou encore, les schémas d’interface accompagnés des spécifications. Nous organisions des rencontres à raison d’une à deux fois par semaine afin de nous tenir au courant de l’évolution du travail et de faire circuler les différentes informations reçues.  Au cours de ces rencontres, on a également pris l’initiative d’identifier les différentes zones d’ombre, afin de nous mettre d’accord quant à notre compréhension de ces points et d’envoyer des courriels au professeur contenant nos questions en cas d’incertitude.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Au cours de ce deuxième travail pratique, notre équipe avait à appliquer les différentes notions apprises durant la session. En effet, on a tout d’abord découvert l’outil Axure RP, ce logiciel puissant permettant le prototypage d’application et des sites web. On a donc eu à créer de nombreuses pages, de nombreux composants réutilisables en plus d’appliquer à ces derniers des interactions afin de simuler plus au moins leur comportement. Plus précisément, on avait appliqué des notions clefs liées aux formulaires et leur validation, les contrôles ou encore la navigation et un tas d’autres notions.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En ce qui concerne les difficultés rencontrées, il y a eu quelques obstacles au cours du projet. Tout d'abord, la collecte de données pour l'analyse des besoins a été difficile, car il a fallu trouver des participants disposés à répondre aux sondages. Avec un peu d’organisation et de mobilisation de toute l'équipe on a pu  parler à beaucoup de gens et ainsi trouver les personnes dont on avait besoin.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color w:val="000000"/>
          <w:sz w:val="22"/>
          <w:szCs w:val="22"/>
          <w:rtl w:val="0"/>
        </w:rPr>
        <w:t xml:space="preserve">Une autre difficulté rencontrée était la création de l'architecture d'information pour le site Web. Il a fallu beaucoup de temps pour trouver une structure qui serait facile à naviguer pour les utilisateurs tout en présentant les informations de manière claire et concise. On a dû faire beaucoup de recherches et consulter une panoplie </w:t>
      </w:r>
      <w:r w:rsidDel="00000000" w:rsidR="00000000" w:rsidRPr="00000000">
        <w:rPr>
          <w:rtl w:val="0"/>
        </w:rPr>
        <w:t xml:space="preserve">d'applications</w:t>
      </w:r>
      <w:r w:rsidDel="00000000" w:rsidR="00000000" w:rsidRPr="00000000">
        <w:rPr>
          <w:color w:val="000000"/>
          <w:sz w:val="22"/>
          <w:szCs w:val="22"/>
          <w:rtl w:val="0"/>
        </w:rPr>
        <w:t xml:space="preserve"> afin d’en apprendre davantage. </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color w:val="000000"/>
          <w:sz w:val="22"/>
          <w:szCs w:val="22"/>
          <w:rtl w:val="0"/>
        </w:rPr>
        <w:t xml:space="preserve">Enfin, la création des schémas d'interfaces avec les spécifications d'interfaces était également une tâche difficile. On a pris beaucoup de temps afin de nous assurer que chaque fonctionnalité était correctement représentée dans les schémas d'interfaces et pour détailler les spécifications d'interface. </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color w:val="000000"/>
          <w:sz w:val="22"/>
          <w:szCs w:val="22"/>
        </w:rPr>
      </w:pPr>
      <w:r w:rsidDel="00000000" w:rsidR="00000000" w:rsidRPr="00000000">
        <w:rPr>
          <w:color w:val="000000"/>
          <w:sz w:val="22"/>
          <w:szCs w:val="22"/>
          <w:rtl w:val="0"/>
        </w:rPr>
        <w:t xml:space="preserve">Dans l'ensemble, ces difficultés ont été surmontées grâce à </w:t>
      </w:r>
      <w:r w:rsidDel="00000000" w:rsidR="00000000" w:rsidRPr="00000000">
        <w:rPr>
          <w:rtl w:val="0"/>
        </w:rPr>
        <w:t xml:space="preserve">une</w:t>
      </w:r>
      <w:r w:rsidDel="00000000" w:rsidR="00000000" w:rsidRPr="00000000">
        <w:rPr>
          <w:color w:val="000000"/>
          <w:sz w:val="22"/>
          <w:szCs w:val="22"/>
          <w:rtl w:val="0"/>
        </w:rPr>
        <w:t xml:space="preserve"> planification minutieuse, une bonne communication et beaucoup de travail d’équipe.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jc w:val="both"/>
        <w:rPr/>
      </w:pPr>
      <w:bookmarkStart w:colFirst="0" w:colLast="0" w:name="_89lqrimpbaqc" w:id="23"/>
      <w:bookmarkEnd w:id="23"/>
      <w:r w:rsidDel="00000000" w:rsidR="00000000" w:rsidRPr="00000000">
        <w:rPr>
          <w:rtl w:val="0"/>
        </w:rPr>
        <w:t xml:space="preserve">Références :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