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2F8A" w:rsidRPr="00190B28" w:rsidRDefault="00AB2F8A" w:rsidP="00AB2F8A">
      <w:pPr>
        <w:jc w:val="center"/>
        <w:rPr>
          <w:rFonts w:ascii="Times New Roman" w:hAnsi="Times New Roman" w:cs="Times New Roman"/>
          <w:sz w:val="32"/>
          <w:szCs w:val="24"/>
        </w:rPr>
      </w:pPr>
      <w:r w:rsidRPr="00190B28">
        <w:rPr>
          <w:rFonts w:ascii="Times New Roman" w:hAnsi="Times New Roman" w:cs="Times New Roman"/>
          <w:b/>
          <w:bCs/>
          <w:sz w:val="32"/>
          <w:szCs w:val="24"/>
        </w:rPr>
        <w:t>A Reproducible Differential Gene Expression Analysis of Inflammatory and Normal/Reactive Synovial Tissue Regions in Osteoarthritis Using GEO Dataset GSE46750</w:t>
      </w:r>
    </w:p>
    <w:p w:rsidR="00190B28" w:rsidRDefault="00190B28" w:rsidP="00AB2F8A">
      <w:pPr>
        <w:rPr>
          <w:rFonts w:ascii="Times New Roman" w:hAnsi="Times New Roman" w:cs="Times New Roman"/>
          <w:b/>
          <w:iCs/>
        </w:rPr>
      </w:pPr>
    </w:p>
    <w:p w:rsidR="00AB2F8A" w:rsidRPr="00190B28" w:rsidRDefault="00AB2F8A" w:rsidP="00AB2F8A">
      <w:pPr>
        <w:rPr>
          <w:rFonts w:ascii="Times New Roman" w:hAnsi="Times New Roman" w:cs="Times New Roman"/>
          <w:sz w:val="28"/>
        </w:rPr>
      </w:pPr>
      <w:r w:rsidRPr="00190B28">
        <w:rPr>
          <w:rFonts w:ascii="Times New Roman" w:hAnsi="Times New Roman" w:cs="Times New Roman"/>
          <w:b/>
          <w:bCs/>
          <w:sz w:val="28"/>
        </w:rPr>
        <w:t>Abstract</w:t>
      </w:r>
    </w:p>
    <w:p w:rsidR="00AB2F8A" w:rsidRPr="00190B28" w:rsidRDefault="00AB2F8A" w:rsidP="00AB2F8A">
      <w:pPr>
        <w:jc w:val="both"/>
        <w:rPr>
          <w:rFonts w:ascii="Times New Roman" w:hAnsi="Times New Roman" w:cs="Times New Roman"/>
          <w:sz w:val="24"/>
        </w:rPr>
      </w:pPr>
      <w:r w:rsidRPr="00190B28">
        <w:rPr>
          <w:rFonts w:ascii="Times New Roman" w:hAnsi="Times New Roman" w:cs="Times New Roman"/>
        </w:rPr>
        <w:t xml:space="preserve">Osteoarthritis (OA) is a chronic joint disease involving changes in articular cartilage, subchondral bone, and synovial tissue. Synovial inflammation can vary within the joint and may be associated with changes in immune signaling and tissue-related gene expression. This project reanalyzed the publicly available Gene Expression Omnibus (GEO) dataset GSE46750 to compare inflammatory and normal/reactive synovial tissue regions from patients with OA. Expression data were analyzed in R using the </w:t>
      </w:r>
      <w:proofErr w:type="spellStart"/>
      <w:r w:rsidRPr="00190B28">
        <w:rPr>
          <w:rFonts w:ascii="Times New Roman" w:hAnsi="Times New Roman" w:cs="Times New Roman"/>
        </w:rPr>
        <w:t>limma</w:t>
      </w:r>
      <w:proofErr w:type="spellEnd"/>
      <w:r w:rsidRPr="00190B28">
        <w:rPr>
          <w:rFonts w:ascii="Times New Roman" w:hAnsi="Times New Roman" w:cs="Times New Roman"/>
        </w:rPr>
        <w:t xml:space="preserve"> framework and a paired design that accounted for patient identity. Probes with an adjusted p-value below 0.05 were considered statistically significant. The analysis identified 152 significant probes: 120 had positive log2 fold changes and 32 had negative log2 fold changes for inflammatory relative to normal/reactive regions. These probes represented 137 unique annotated gene symbols. Among the top-ranked probes were CD48, MATN2, SNTB1, MAN1C1, IRF8, TNFRSF21, LRRN1, CCL2, PLA2G7, </w:t>
      </w:r>
      <w:r w:rsidRPr="00190B28">
        <w:rPr>
          <w:rFonts w:ascii="Times New Roman" w:hAnsi="Times New Roman" w:cs="Times New Roman"/>
          <w:sz w:val="24"/>
        </w:rPr>
        <w:t xml:space="preserve">and AHNAK. A volcano plot and a </w:t>
      </w:r>
      <w:proofErr w:type="spellStart"/>
      <w:r w:rsidRPr="00190B28">
        <w:rPr>
          <w:rFonts w:ascii="Times New Roman" w:hAnsi="Times New Roman" w:cs="Times New Roman"/>
          <w:sz w:val="24"/>
        </w:rPr>
        <w:t>heatmap</w:t>
      </w:r>
      <w:proofErr w:type="spellEnd"/>
      <w:r w:rsidRPr="00190B28">
        <w:rPr>
          <w:rFonts w:ascii="Times New Roman" w:hAnsi="Times New Roman" w:cs="Times New Roman"/>
          <w:sz w:val="24"/>
        </w:rPr>
        <w:t xml:space="preserve"> of the 20 most statistically significant probes were generated. These results indicate regional gene-expression differences within OA synovial tissue. They do not establish causal mechanisms and should not be interpreted as an OA-versus-healthy comparison. Independent validation and careful biological interpretation are needed.</w:t>
      </w:r>
    </w:p>
    <w:p w:rsidR="00AB2F8A" w:rsidRDefault="00AB2F8A" w:rsidP="00AB2F8A">
      <w:pPr>
        <w:jc w:val="both"/>
        <w:rPr>
          <w:rFonts w:ascii="Times New Roman" w:hAnsi="Times New Roman" w:cs="Times New Roman"/>
          <w:sz w:val="24"/>
        </w:rPr>
      </w:pPr>
      <w:r w:rsidRPr="00190B28">
        <w:rPr>
          <w:rFonts w:ascii="Times New Roman" w:hAnsi="Times New Roman" w:cs="Times New Roman"/>
          <w:b/>
          <w:bCs/>
          <w:sz w:val="24"/>
        </w:rPr>
        <w:t xml:space="preserve">Keywords: </w:t>
      </w:r>
      <w:r w:rsidRPr="00190B28">
        <w:rPr>
          <w:rFonts w:ascii="Times New Roman" w:hAnsi="Times New Roman" w:cs="Times New Roman"/>
          <w:sz w:val="24"/>
        </w:rPr>
        <w:t xml:space="preserve">osteoarthritis; synovial tissue; differential gene expression; GEO; GSE46750; </w:t>
      </w:r>
      <w:proofErr w:type="spellStart"/>
      <w:r w:rsidRPr="00190B28">
        <w:rPr>
          <w:rFonts w:ascii="Times New Roman" w:hAnsi="Times New Roman" w:cs="Times New Roman"/>
          <w:sz w:val="24"/>
        </w:rPr>
        <w:t>limma</w:t>
      </w:r>
      <w:proofErr w:type="spellEnd"/>
      <w:r w:rsidRPr="00190B28">
        <w:rPr>
          <w:rFonts w:ascii="Times New Roman" w:hAnsi="Times New Roman" w:cs="Times New Roman"/>
          <w:sz w:val="24"/>
        </w:rPr>
        <w:t>; microarray; bioinformatics</w:t>
      </w:r>
    </w:p>
    <w:p w:rsidR="00190B28" w:rsidRDefault="00190B28" w:rsidP="00190B28">
      <w:pPr>
        <w:jc w:val="both"/>
        <w:rPr>
          <w:rFonts w:ascii="Times New Roman" w:hAnsi="Times New Roman" w:cs="Times New Roman"/>
          <w:sz w:val="24"/>
        </w:rPr>
      </w:pPr>
    </w:p>
    <w:p w:rsidR="00190B28" w:rsidRPr="0068722C" w:rsidRDefault="00190B28" w:rsidP="00190B28">
      <w:pPr>
        <w:jc w:val="both"/>
        <w:rPr>
          <w:rFonts w:ascii="Times New Roman" w:hAnsi="Times New Roman" w:cs="Times New Roman"/>
          <w:b/>
          <w:sz w:val="28"/>
        </w:rPr>
      </w:pPr>
      <w:r w:rsidRPr="0068722C">
        <w:rPr>
          <w:rFonts w:ascii="Times New Roman" w:hAnsi="Times New Roman" w:cs="Times New Roman"/>
          <w:b/>
          <w:sz w:val="28"/>
        </w:rPr>
        <w:t>1. Introduction</w:t>
      </w:r>
    </w:p>
    <w:p w:rsidR="00190B28" w:rsidRPr="0068722C" w:rsidRDefault="00190B28" w:rsidP="009E5D05">
      <w:pPr>
        <w:spacing w:after="0"/>
        <w:jc w:val="both"/>
        <w:rPr>
          <w:rFonts w:ascii="Times New Roman" w:hAnsi="Times New Roman" w:cs="Times New Roman"/>
          <w:b/>
          <w:sz w:val="24"/>
        </w:rPr>
      </w:pPr>
      <w:r w:rsidRPr="0068722C">
        <w:rPr>
          <w:rFonts w:ascii="Times New Roman" w:hAnsi="Times New Roman" w:cs="Times New Roman"/>
          <w:b/>
          <w:sz w:val="24"/>
        </w:rPr>
        <w:t>1.1 Osteoarthritis and joint-tissue biology</w:t>
      </w:r>
    </w:p>
    <w:p w:rsidR="00190B28" w:rsidRPr="00190B28" w:rsidRDefault="00190B28" w:rsidP="00190B28">
      <w:pPr>
        <w:jc w:val="both"/>
        <w:rPr>
          <w:rFonts w:ascii="Times New Roman" w:hAnsi="Times New Roman" w:cs="Times New Roman"/>
          <w:sz w:val="24"/>
        </w:rPr>
      </w:pPr>
      <w:r w:rsidRPr="00190B28">
        <w:rPr>
          <w:rFonts w:ascii="Times New Roman" w:hAnsi="Times New Roman" w:cs="Times New Roman"/>
          <w:sz w:val="24"/>
        </w:rPr>
        <w:t xml:space="preserve">Osteoarthritis is a heterogeneous, whole-joint disorder characterized by structural and functional changes in several tissues, including articular cartilage, subchondral bone, synovium, ligaments, and </w:t>
      </w:r>
      <w:proofErr w:type="spellStart"/>
      <w:r w:rsidRPr="00190B28">
        <w:rPr>
          <w:rFonts w:ascii="Times New Roman" w:hAnsi="Times New Roman" w:cs="Times New Roman"/>
          <w:sz w:val="24"/>
        </w:rPr>
        <w:t>periarticular</w:t>
      </w:r>
      <w:proofErr w:type="spellEnd"/>
      <w:r w:rsidRPr="00190B28">
        <w:rPr>
          <w:rFonts w:ascii="Times New Roman" w:hAnsi="Times New Roman" w:cs="Times New Roman"/>
          <w:sz w:val="24"/>
        </w:rPr>
        <w:t xml:space="preserve"> structures. Cartilage matrix degradation is an important feature, but OA biology also involves altered mechanical loading, cellular stress responses, inflammatory signaling, and changes in tissue homeostasis. These interacting processes contribute to symptoms such as pain and stiffness and to progressive loss of joint function.</w:t>
      </w:r>
    </w:p>
    <w:p w:rsidR="00190B28" w:rsidRPr="00190B28" w:rsidRDefault="00190B28" w:rsidP="00190B28">
      <w:pPr>
        <w:jc w:val="both"/>
        <w:rPr>
          <w:rFonts w:ascii="Times New Roman" w:hAnsi="Times New Roman" w:cs="Times New Roman"/>
          <w:sz w:val="24"/>
        </w:rPr>
      </w:pPr>
    </w:p>
    <w:p w:rsidR="00190B28" w:rsidRPr="0068722C" w:rsidRDefault="00190B28" w:rsidP="009E5D05">
      <w:pPr>
        <w:spacing w:after="0"/>
        <w:jc w:val="both"/>
        <w:rPr>
          <w:rFonts w:ascii="Times New Roman" w:hAnsi="Times New Roman" w:cs="Times New Roman"/>
          <w:b/>
          <w:sz w:val="24"/>
        </w:rPr>
      </w:pPr>
      <w:r w:rsidRPr="0068722C">
        <w:rPr>
          <w:rFonts w:ascii="Times New Roman" w:hAnsi="Times New Roman" w:cs="Times New Roman"/>
          <w:b/>
          <w:sz w:val="24"/>
        </w:rPr>
        <w:t>1.2 Synovial inflammation in OA</w:t>
      </w:r>
    </w:p>
    <w:p w:rsidR="00190B28" w:rsidRPr="00190B28" w:rsidRDefault="00190B28" w:rsidP="00190B28">
      <w:pPr>
        <w:jc w:val="both"/>
        <w:rPr>
          <w:rFonts w:ascii="Times New Roman" w:hAnsi="Times New Roman" w:cs="Times New Roman"/>
          <w:sz w:val="24"/>
        </w:rPr>
      </w:pPr>
      <w:r w:rsidRPr="00190B28">
        <w:rPr>
          <w:rFonts w:ascii="Times New Roman" w:hAnsi="Times New Roman" w:cs="Times New Roman"/>
          <w:sz w:val="24"/>
        </w:rPr>
        <w:t>The synovial membrane lines the joint cavity and contributes to the maintenance of synovial fluid and the intra-articular environment. In OA, some synovial regions show inflammatory changes, including activation of resident cells, immune-cell recruitment, and altered expression of cytokines and chemokines. These local responses may interact with cartilage and other joint tissues. The extent of inflammation can differ between patients and between tissue regions from the same patient, making re</w:t>
      </w:r>
      <w:r>
        <w:rPr>
          <w:rFonts w:ascii="Times New Roman" w:hAnsi="Times New Roman" w:cs="Times New Roman"/>
          <w:sz w:val="24"/>
        </w:rPr>
        <w:t>gional comparisons informative.</w:t>
      </w:r>
    </w:p>
    <w:p w:rsidR="00190B28" w:rsidRPr="00190B28" w:rsidRDefault="00190B28" w:rsidP="00190B28">
      <w:pPr>
        <w:jc w:val="both"/>
        <w:rPr>
          <w:rFonts w:ascii="Times New Roman" w:hAnsi="Times New Roman" w:cs="Times New Roman"/>
          <w:sz w:val="24"/>
        </w:rPr>
      </w:pPr>
      <w:r w:rsidRPr="00190B28">
        <w:rPr>
          <w:rFonts w:ascii="Times New Roman" w:hAnsi="Times New Roman" w:cs="Times New Roman"/>
          <w:sz w:val="24"/>
        </w:rPr>
        <w:lastRenderedPageBreak/>
        <w:t>Gene-expression differences can point to biological processes associated with inflammatory regions, but expression associations alone cannot show that a gene causes inflammation or disease progression. Results must be interpreted in the context of the sampling design and supported by independent evidence.</w:t>
      </w:r>
    </w:p>
    <w:p w:rsidR="009E5D05" w:rsidRDefault="009E5D05" w:rsidP="00190B28">
      <w:pPr>
        <w:jc w:val="both"/>
        <w:rPr>
          <w:rFonts w:ascii="Times New Roman" w:hAnsi="Times New Roman" w:cs="Times New Roman"/>
          <w:b/>
          <w:sz w:val="24"/>
        </w:rPr>
      </w:pPr>
    </w:p>
    <w:p w:rsidR="00190B28" w:rsidRPr="0068722C" w:rsidRDefault="00190B28" w:rsidP="009E5D05">
      <w:pPr>
        <w:spacing w:after="0"/>
        <w:jc w:val="both"/>
        <w:rPr>
          <w:rFonts w:ascii="Times New Roman" w:hAnsi="Times New Roman" w:cs="Times New Roman"/>
          <w:b/>
          <w:sz w:val="24"/>
        </w:rPr>
      </w:pPr>
      <w:r w:rsidRPr="0068722C">
        <w:rPr>
          <w:rFonts w:ascii="Times New Roman" w:hAnsi="Times New Roman" w:cs="Times New Roman"/>
          <w:b/>
          <w:sz w:val="24"/>
        </w:rPr>
        <w:t>1.3 Microarray data and computational analysis</w:t>
      </w:r>
    </w:p>
    <w:p w:rsidR="00190B28" w:rsidRPr="00190B28" w:rsidRDefault="00190B28" w:rsidP="00190B28">
      <w:pPr>
        <w:jc w:val="both"/>
        <w:rPr>
          <w:rFonts w:ascii="Times New Roman" w:hAnsi="Times New Roman" w:cs="Times New Roman"/>
          <w:sz w:val="24"/>
        </w:rPr>
      </w:pPr>
      <w:r w:rsidRPr="00190B28">
        <w:rPr>
          <w:rFonts w:ascii="Times New Roman" w:hAnsi="Times New Roman" w:cs="Times New Roman"/>
          <w:sz w:val="24"/>
        </w:rPr>
        <w:t>Microarray experiments measure the relative abundance of transcripts represented by many probes. Public repositories such as the NCBI Gene Expression Omnibus (GEO) make these data available for reanalysis. Computational reanalysis can help identify expression differences without collecting new samples, provided that the original experimental design, preprocessing, probe annotation, and statistical assumptions are considered.</w:t>
      </w:r>
    </w:p>
    <w:p w:rsidR="00190B28" w:rsidRPr="00190B28" w:rsidRDefault="00190B28" w:rsidP="00190B28">
      <w:pPr>
        <w:jc w:val="both"/>
        <w:rPr>
          <w:rFonts w:ascii="Times New Roman" w:hAnsi="Times New Roman" w:cs="Times New Roman"/>
          <w:sz w:val="24"/>
        </w:rPr>
      </w:pPr>
      <w:r w:rsidRPr="00190B28">
        <w:rPr>
          <w:rFonts w:ascii="Times New Roman" w:hAnsi="Times New Roman" w:cs="Times New Roman"/>
          <w:sz w:val="24"/>
        </w:rPr>
        <w:t xml:space="preserve">The </w:t>
      </w:r>
      <w:proofErr w:type="spellStart"/>
      <w:r w:rsidRPr="00190B28">
        <w:rPr>
          <w:rFonts w:ascii="Times New Roman" w:hAnsi="Times New Roman" w:cs="Times New Roman"/>
          <w:sz w:val="24"/>
        </w:rPr>
        <w:t>limma</w:t>
      </w:r>
      <w:proofErr w:type="spellEnd"/>
      <w:r w:rsidRPr="00190B28">
        <w:rPr>
          <w:rFonts w:ascii="Times New Roman" w:hAnsi="Times New Roman" w:cs="Times New Roman"/>
          <w:sz w:val="24"/>
        </w:rPr>
        <w:t xml:space="preserve"> package for R fits linear models to expression data and uses empirical Bayes methods to moderate variance estimates. For paired samples, subject terms can be included in the design matrix to account for patient-specific differences. Since thousands of probes are tested simultaneously, adjusted p-values are used to control the false discovery rate. Volcano plots summarize fold change and statistical evidence, while </w:t>
      </w:r>
      <w:proofErr w:type="spellStart"/>
      <w:r w:rsidRPr="00190B28">
        <w:rPr>
          <w:rFonts w:ascii="Times New Roman" w:hAnsi="Times New Roman" w:cs="Times New Roman"/>
          <w:sz w:val="24"/>
        </w:rPr>
        <w:t>heatmaps</w:t>
      </w:r>
      <w:proofErr w:type="spellEnd"/>
      <w:r w:rsidRPr="00190B28">
        <w:rPr>
          <w:rFonts w:ascii="Times New Roman" w:hAnsi="Times New Roman" w:cs="Times New Roman"/>
          <w:sz w:val="24"/>
        </w:rPr>
        <w:t xml:space="preserve"> show relative patterns across selected probes and samples</w:t>
      </w:r>
      <w:r>
        <w:rPr>
          <w:rFonts w:ascii="Times New Roman" w:hAnsi="Times New Roman" w:cs="Times New Roman"/>
          <w:sz w:val="24"/>
        </w:rPr>
        <w:t>.</w:t>
      </w:r>
    </w:p>
    <w:p w:rsidR="009E5D05" w:rsidRDefault="009E5D05" w:rsidP="00190B28">
      <w:pPr>
        <w:jc w:val="both"/>
        <w:rPr>
          <w:rFonts w:ascii="Times New Roman" w:hAnsi="Times New Roman" w:cs="Times New Roman"/>
          <w:b/>
          <w:sz w:val="24"/>
        </w:rPr>
      </w:pPr>
    </w:p>
    <w:p w:rsidR="00190B28" w:rsidRPr="0068722C" w:rsidRDefault="00190B28" w:rsidP="009E5D05">
      <w:pPr>
        <w:spacing w:after="0"/>
        <w:jc w:val="both"/>
        <w:rPr>
          <w:rFonts w:ascii="Times New Roman" w:hAnsi="Times New Roman" w:cs="Times New Roman"/>
          <w:b/>
          <w:sz w:val="24"/>
        </w:rPr>
      </w:pPr>
      <w:r w:rsidRPr="0068722C">
        <w:rPr>
          <w:rFonts w:ascii="Times New Roman" w:hAnsi="Times New Roman" w:cs="Times New Roman"/>
          <w:b/>
          <w:sz w:val="24"/>
        </w:rPr>
        <w:t>1.4 Rationale for GSE46750</w:t>
      </w:r>
    </w:p>
    <w:p w:rsidR="00190B28" w:rsidRDefault="00190B28" w:rsidP="00190B28">
      <w:pPr>
        <w:jc w:val="both"/>
        <w:rPr>
          <w:rFonts w:ascii="Times New Roman" w:hAnsi="Times New Roman" w:cs="Times New Roman"/>
          <w:sz w:val="24"/>
        </w:rPr>
      </w:pPr>
      <w:r w:rsidRPr="00190B28">
        <w:rPr>
          <w:rFonts w:ascii="Times New Roman" w:hAnsi="Times New Roman" w:cs="Times New Roman"/>
          <w:sz w:val="24"/>
        </w:rPr>
        <w:t>GSE46750 includes gene-expression measurements from inflammatory and normal/reactive synovial tissue regions collected from patients with OA. The paired nature of the sampling permits a within-patient comparison, reducing the influence of stable differences between individuals. This project reanalyzes the dataset using a paired statistical design to identify probes associated with regional inflammatory status.</w:t>
      </w:r>
    </w:p>
    <w:p w:rsidR="009E5D05" w:rsidRDefault="009E5D05" w:rsidP="009E5D05">
      <w:pPr>
        <w:spacing w:after="0"/>
        <w:jc w:val="both"/>
        <w:rPr>
          <w:rFonts w:ascii="Times New Roman" w:hAnsi="Times New Roman" w:cs="Times New Roman"/>
          <w:b/>
          <w:sz w:val="24"/>
        </w:rPr>
      </w:pPr>
    </w:p>
    <w:p w:rsidR="009E5D05" w:rsidRDefault="009E5D05" w:rsidP="009E5D05">
      <w:pPr>
        <w:spacing w:after="0"/>
        <w:jc w:val="both"/>
        <w:rPr>
          <w:rFonts w:ascii="Times New Roman" w:hAnsi="Times New Roman" w:cs="Times New Roman"/>
          <w:b/>
          <w:sz w:val="24"/>
        </w:rPr>
      </w:pPr>
    </w:p>
    <w:p w:rsidR="0069636E" w:rsidRPr="0068722C" w:rsidRDefault="0069636E" w:rsidP="009E5D05">
      <w:pPr>
        <w:spacing w:after="0"/>
        <w:jc w:val="both"/>
        <w:rPr>
          <w:rFonts w:ascii="Times New Roman" w:hAnsi="Times New Roman" w:cs="Times New Roman"/>
          <w:b/>
          <w:sz w:val="24"/>
        </w:rPr>
      </w:pPr>
      <w:r w:rsidRPr="0068722C">
        <w:rPr>
          <w:rFonts w:ascii="Times New Roman" w:hAnsi="Times New Roman" w:cs="Times New Roman"/>
          <w:b/>
          <w:sz w:val="24"/>
        </w:rPr>
        <w:t>1.5 Aim and objectives</w:t>
      </w:r>
    </w:p>
    <w:p w:rsidR="0069636E" w:rsidRPr="0069636E" w:rsidRDefault="0069636E" w:rsidP="0069636E">
      <w:pPr>
        <w:jc w:val="both"/>
        <w:rPr>
          <w:rFonts w:ascii="Times New Roman" w:hAnsi="Times New Roman" w:cs="Times New Roman"/>
          <w:sz w:val="24"/>
        </w:rPr>
      </w:pPr>
      <w:r w:rsidRPr="0069636E">
        <w:rPr>
          <w:rFonts w:ascii="Times New Roman" w:hAnsi="Times New Roman" w:cs="Times New Roman"/>
          <w:sz w:val="24"/>
        </w:rPr>
        <w:t>Aim: To identify differentially expressed probes between inflammatory and normal/reactive synovial tissue regions in OA using the public GEO dataset GSE46750.</w:t>
      </w:r>
    </w:p>
    <w:p w:rsidR="0069636E" w:rsidRPr="0069636E" w:rsidRDefault="0069636E" w:rsidP="0069636E">
      <w:pPr>
        <w:pStyle w:val="ListParagraph"/>
        <w:numPr>
          <w:ilvl w:val="0"/>
          <w:numId w:val="1"/>
        </w:numPr>
        <w:jc w:val="both"/>
        <w:rPr>
          <w:rFonts w:ascii="Times New Roman" w:hAnsi="Times New Roman" w:cs="Times New Roman"/>
          <w:sz w:val="24"/>
        </w:rPr>
      </w:pPr>
      <w:r w:rsidRPr="0069636E">
        <w:rPr>
          <w:rFonts w:ascii="Times New Roman" w:hAnsi="Times New Roman" w:cs="Times New Roman"/>
          <w:sz w:val="24"/>
        </w:rPr>
        <w:t>Obtain and inspect the GSE46750 expression matrix and sample metadata.</w:t>
      </w:r>
    </w:p>
    <w:p w:rsidR="0069636E" w:rsidRPr="0069636E" w:rsidRDefault="0069636E" w:rsidP="0069636E">
      <w:pPr>
        <w:pStyle w:val="ListParagraph"/>
        <w:numPr>
          <w:ilvl w:val="0"/>
          <w:numId w:val="1"/>
        </w:numPr>
        <w:jc w:val="both"/>
        <w:rPr>
          <w:rFonts w:ascii="Times New Roman" w:hAnsi="Times New Roman" w:cs="Times New Roman"/>
          <w:sz w:val="24"/>
        </w:rPr>
      </w:pPr>
      <w:r w:rsidRPr="0069636E">
        <w:rPr>
          <w:rFonts w:ascii="Times New Roman" w:hAnsi="Times New Roman" w:cs="Times New Roman"/>
          <w:sz w:val="24"/>
        </w:rPr>
        <w:t xml:space="preserve">Analyze expression differences using R and </w:t>
      </w:r>
      <w:proofErr w:type="spellStart"/>
      <w:r w:rsidRPr="0069636E">
        <w:rPr>
          <w:rFonts w:ascii="Times New Roman" w:hAnsi="Times New Roman" w:cs="Times New Roman"/>
          <w:sz w:val="24"/>
        </w:rPr>
        <w:t>limma</w:t>
      </w:r>
      <w:proofErr w:type="spellEnd"/>
      <w:r w:rsidRPr="0069636E">
        <w:rPr>
          <w:rFonts w:ascii="Times New Roman" w:hAnsi="Times New Roman" w:cs="Times New Roman"/>
          <w:sz w:val="24"/>
        </w:rPr>
        <w:t xml:space="preserve"> with patient identity represented in the statistical design.</w:t>
      </w:r>
    </w:p>
    <w:p w:rsidR="0069636E" w:rsidRPr="0069636E" w:rsidRDefault="0069636E" w:rsidP="0069636E">
      <w:pPr>
        <w:pStyle w:val="ListParagraph"/>
        <w:numPr>
          <w:ilvl w:val="0"/>
          <w:numId w:val="1"/>
        </w:numPr>
        <w:jc w:val="both"/>
        <w:rPr>
          <w:rFonts w:ascii="Times New Roman" w:hAnsi="Times New Roman" w:cs="Times New Roman"/>
          <w:sz w:val="24"/>
        </w:rPr>
      </w:pPr>
      <w:r w:rsidRPr="0069636E">
        <w:rPr>
          <w:rFonts w:ascii="Times New Roman" w:hAnsi="Times New Roman" w:cs="Times New Roman"/>
          <w:sz w:val="24"/>
        </w:rPr>
        <w:t>Identify significant probes using an adjusted p-value threshold of less than 0.05.</w:t>
      </w:r>
    </w:p>
    <w:p w:rsidR="0069636E" w:rsidRPr="0069636E" w:rsidRDefault="0069636E" w:rsidP="0069636E">
      <w:pPr>
        <w:pStyle w:val="ListParagraph"/>
        <w:numPr>
          <w:ilvl w:val="0"/>
          <w:numId w:val="1"/>
        </w:numPr>
        <w:jc w:val="both"/>
        <w:rPr>
          <w:rFonts w:ascii="Times New Roman" w:hAnsi="Times New Roman" w:cs="Times New Roman"/>
          <w:sz w:val="24"/>
        </w:rPr>
      </w:pPr>
      <w:r w:rsidRPr="0069636E">
        <w:rPr>
          <w:rFonts w:ascii="Times New Roman" w:hAnsi="Times New Roman" w:cs="Times New Roman"/>
          <w:sz w:val="24"/>
        </w:rPr>
        <w:t>Annotate significant probes with gene symbols and summarize the leading results.</w:t>
      </w:r>
    </w:p>
    <w:p w:rsidR="0069636E" w:rsidRPr="0069636E" w:rsidRDefault="0069636E" w:rsidP="0069636E">
      <w:pPr>
        <w:pStyle w:val="ListParagraph"/>
        <w:numPr>
          <w:ilvl w:val="0"/>
          <w:numId w:val="1"/>
        </w:numPr>
        <w:jc w:val="both"/>
        <w:rPr>
          <w:rFonts w:ascii="Times New Roman" w:hAnsi="Times New Roman" w:cs="Times New Roman"/>
          <w:sz w:val="24"/>
        </w:rPr>
      </w:pPr>
      <w:r w:rsidRPr="0069636E">
        <w:rPr>
          <w:rFonts w:ascii="Times New Roman" w:hAnsi="Times New Roman" w:cs="Times New Roman"/>
          <w:sz w:val="24"/>
        </w:rPr>
        <w:t xml:space="preserve">Visualize results using a volcano plot and a </w:t>
      </w:r>
      <w:proofErr w:type="spellStart"/>
      <w:r w:rsidRPr="0069636E">
        <w:rPr>
          <w:rFonts w:ascii="Times New Roman" w:hAnsi="Times New Roman" w:cs="Times New Roman"/>
          <w:sz w:val="24"/>
        </w:rPr>
        <w:t>heatmap</w:t>
      </w:r>
      <w:proofErr w:type="spellEnd"/>
      <w:r w:rsidRPr="0069636E">
        <w:rPr>
          <w:rFonts w:ascii="Times New Roman" w:hAnsi="Times New Roman" w:cs="Times New Roman"/>
          <w:sz w:val="24"/>
        </w:rPr>
        <w:t xml:space="preserve"> of the 20 most statistically significant probes.</w:t>
      </w:r>
    </w:p>
    <w:p w:rsidR="0069636E" w:rsidRDefault="0069636E" w:rsidP="0069636E">
      <w:pPr>
        <w:pStyle w:val="ListParagraph"/>
        <w:numPr>
          <w:ilvl w:val="0"/>
          <w:numId w:val="1"/>
        </w:numPr>
        <w:jc w:val="both"/>
        <w:rPr>
          <w:rFonts w:ascii="Times New Roman" w:hAnsi="Times New Roman" w:cs="Times New Roman"/>
          <w:sz w:val="24"/>
        </w:rPr>
      </w:pPr>
      <w:r w:rsidRPr="0069636E">
        <w:rPr>
          <w:rFonts w:ascii="Times New Roman" w:hAnsi="Times New Roman" w:cs="Times New Roman"/>
          <w:sz w:val="24"/>
        </w:rPr>
        <w:t>Organize output tables and figures for transparent reporting and GitHub sharing.</w:t>
      </w:r>
    </w:p>
    <w:p w:rsidR="009E5D05" w:rsidRDefault="009E5D05" w:rsidP="0069636E">
      <w:pPr>
        <w:jc w:val="both"/>
        <w:rPr>
          <w:rFonts w:ascii="Times New Roman" w:hAnsi="Times New Roman" w:cs="Times New Roman"/>
          <w:b/>
          <w:sz w:val="28"/>
        </w:rPr>
      </w:pPr>
    </w:p>
    <w:p w:rsidR="0069636E" w:rsidRPr="0069636E" w:rsidRDefault="0069636E" w:rsidP="0069636E">
      <w:pPr>
        <w:jc w:val="both"/>
        <w:rPr>
          <w:rFonts w:ascii="Times New Roman" w:hAnsi="Times New Roman" w:cs="Times New Roman"/>
          <w:b/>
          <w:sz w:val="28"/>
        </w:rPr>
      </w:pPr>
      <w:r w:rsidRPr="0069636E">
        <w:rPr>
          <w:rFonts w:ascii="Times New Roman" w:hAnsi="Times New Roman" w:cs="Times New Roman"/>
          <w:b/>
          <w:sz w:val="28"/>
        </w:rPr>
        <w:lastRenderedPageBreak/>
        <w:t>2. Materials and Methods</w:t>
      </w:r>
    </w:p>
    <w:p w:rsidR="0069636E" w:rsidRPr="0068722C" w:rsidRDefault="0069636E" w:rsidP="009E5D05">
      <w:pPr>
        <w:spacing w:after="0"/>
        <w:jc w:val="both"/>
        <w:rPr>
          <w:rFonts w:ascii="Times New Roman" w:hAnsi="Times New Roman" w:cs="Times New Roman"/>
          <w:b/>
          <w:sz w:val="24"/>
        </w:rPr>
      </w:pPr>
      <w:r w:rsidRPr="0068722C">
        <w:rPr>
          <w:rFonts w:ascii="Times New Roman" w:hAnsi="Times New Roman" w:cs="Times New Roman"/>
          <w:b/>
          <w:sz w:val="24"/>
        </w:rPr>
        <w:t>2.1 Dataset</w:t>
      </w:r>
    </w:p>
    <w:p w:rsidR="0069636E" w:rsidRPr="0069636E" w:rsidRDefault="0069636E" w:rsidP="0069636E">
      <w:pPr>
        <w:jc w:val="both"/>
        <w:rPr>
          <w:rFonts w:ascii="Times New Roman" w:hAnsi="Times New Roman" w:cs="Times New Roman"/>
          <w:sz w:val="24"/>
        </w:rPr>
      </w:pPr>
      <w:r w:rsidRPr="0069636E">
        <w:rPr>
          <w:rFonts w:ascii="Times New Roman" w:hAnsi="Times New Roman" w:cs="Times New Roman"/>
          <w:sz w:val="24"/>
        </w:rPr>
        <w:t>The analysis used GEO series GSE46750 and the Illumina Human v4 microarray platform (GPL10558), as documented in the project workflow. The analyzed matrix contained 47,231 probes across 24 samples. The samples comprised 12 normal/reactive regions and 12 inflammatory regions from 12 OA patients, with each pati</w:t>
      </w:r>
      <w:r>
        <w:rPr>
          <w:rFonts w:ascii="Times New Roman" w:hAnsi="Times New Roman" w:cs="Times New Roman"/>
          <w:sz w:val="24"/>
        </w:rPr>
        <w:t>ent represented in both groups.</w:t>
      </w:r>
    </w:p>
    <w:p w:rsidR="009E5D05" w:rsidRDefault="009E5D05" w:rsidP="009E5D05">
      <w:pPr>
        <w:spacing w:after="0"/>
        <w:jc w:val="both"/>
        <w:rPr>
          <w:rFonts w:ascii="Times New Roman" w:hAnsi="Times New Roman" w:cs="Times New Roman"/>
          <w:b/>
          <w:sz w:val="24"/>
        </w:rPr>
      </w:pPr>
    </w:p>
    <w:p w:rsidR="0069636E" w:rsidRPr="0068722C" w:rsidRDefault="0069636E" w:rsidP="009E5D05">
      <w:pPr>
        <w:spacing w:after="0"/>
        <w:jc w:val="both"/>
        <w:rPr>
          <w:rFonts w:ascii="Times New Roman" w:hAnsi="Times New Roman" w:cs="Times New Roman"/>
          <w:b/>
          <w:sz w:val="24"/>
        </w:rPr>
      </w:pPr>
      <w:r w:rsidRPr="0068722C">
        <w:rPr>
          <w:rFonts w:ascii="Times New Roman" w:hAnsi="Times New Roman" w:cs="Times New Roman"/>
          <w:b/>
          <w:sz w:val="24"/>
        </w:rPr>
        <w:t>2.2 Expression data and transformation</w:t>
      </w:r>
    </w:p>
    <w:p w:rsidR="0069636E" w:rsidRPr="0069636E" w:rsidRDefault="0069636E" w:rsidP="0069636E">
      <w:pPr>
        <w:jc w:val="both"/>
        <w:rPr>
          <w:rFonts w:ascii="Times New Roman" w:hAnsi="Times New Roman" w:cs="Times New Roman"/>
          <w:sz w:val="24"/>
        </w:rPr>
      </w:pPr>
      <w:r w:rsidRPr="0069636E">
        <w:rPr>
          <w:rFonts w:ascii="Times New Roman" w:hAnsi="Times New Roman" w:cs="Times New Roman"/>
          <w:sz w:val="24"/>
        </w:rPr>
        <w:t>The expression matrix used in the analysis contained 47,231 rows and 24 sample columns. The expression values were transformed using log2(expr), as confirmed during the workflow. The original dataset's processing and normalization details should be reported from the GEO record or original study; this report does not assume that quantile normalization was newly pe</w:t>
      </w:r>
      <w:r>
        <w:rPr>
          <w:rFonts w:ascii="Times New Roman" w:hAnsi="Times New Roman" w:cs="Times New Roman"/>
          <w:sz w:val="24"/>
        </w:rPr>
        <w:t>rformed during this reanalysis.</w:t>
      </w:r>
    </w:p>
    <w:p w:rsidR="009E5D05" w:rsidRDefault="009E5D05" w:rsidP="009E5D05">
      <w:pPr>
        <w:spacing w:after="0"/>
        <w:jc w:val="both"/>
        <w:rPr>
          <w:rFonts w:ascii="Times New Roman" w:hAnsi="Times New Roman" w:cs="Times New Roman"/>
          <w:b/>
          <w:sz w:val="24"/>
        </w:rPr>
      </w:pPr>
    </w:p>
    <w:p w:rsidR="0069636E" w:rsidRPr="0068722C" w:rsidRDefault="0069636E" w:rsidP="009E5D05">
      <w:pPr>
        <w:spacing w:after="0"/>
        <w:jc w:val="both"/>
        <w:rPr>
          <w:rFonts w:ascii="Times New Roman" w:hAnsi="Times New Roman" w:cs="Times New Roman"/>
          <w:b/>
          <w:sz w:val="24"/>
        </w:rPr>
      </w:pPr>
      <w:r w:rsidRPr="0068722C">
        <w:rPr>
          <w:rFonts w:ascii="Times New Roman" w:hAnsi="Times New Roman" w:cs="Times New Roman"/>
          <w:b/>
          <w:sz w:val="24"/>
        </w:rPr>
        <w:t>2.3 Paired statistical design</w:t>
      </w:r>
    </w:p>
    <w:p w:rsidR="0069636E" w:rsidRPr="0069636E" w:rsidRDefault="0069636E" w:rsidP="0069636E">
      <w:pPr>
        <w:jc w:val="both"/>
        <w:rPr>
          <w:rFonts w:ascii="Times New Roman" w:hAnsi="Times New Roman" w:cs="Times New Roman"/>
          <w:sz w:val="24"/>
        </w:rPr>
      </w:pPr>
      <w:r w:rsidRPr="0069636E">
        <w:rPr>
          <w:rFonts w:ascii="Times New Roman" w:hAnsi="Times New Roman" w:cs="Times New Roman"/>
          <w:sz w:val="24"/>
        </w:rPr>
        <w:t>A design matrix was constructed in R using a model of the form ~ Subject + Group, with normal/reactive samples as the reference group and inflammatory status as the group effect. This design accounts for patient-specific baseline differences. The model matrix was confirmed to be full rank in the recorded workflow. Positive log2 fold changes are interpreted as higher expression in inflammatory regions relative to normal/reactive regions, provided the group re</w:t>
      </w:r>
      <w:r>
        <w:rPr>
          <w:rFonts w:ascii="Times New Roman" w:hAnsi="Times New Roman" w:cs="Times New Roman"/>
          <w:sz w:val="24"/>
        </w:rPr>
        <w:t>ference coding is as described.</w:t>
      </w:r>
    </w:p>
    <w:p w:rsidR="009E5D05" w:rsidRDefault="009E5D05" w:rsidP="0069636E">
      <w:pPr>
        <w:jc w:val="both"/>
        <w:rPr>
          <w:rFonts w:ascii="Times New Roman" w:hAnsi="Times New Roman" w:cs="Times New Roman"/>
          <w:b/>
          <w:sz w:val="24"/>
        </w:rPr>
      </w:pPr>
    </w:p>
    <w:p w:rsidR="0069636E" w:rsidRPr="0068722C" w:rsidRDefault="0069636E" w:rsidP="009E5D05">
      <w:pPr>
        <w:spacing w:after="0"/>
        <w:jc w:val="both"/>
        <w:rPr>
          <w:rFonts w:ascii="Times New Roman" w:hAnsi="Times New Roman" w:cs="Times New Roman"/>
          <w:b/>
          <w:sz w:val="24"/>
        </w:rPr>
      </w:pPr>
      <w:r w:rsidRPr="0068722C">
        <w:rPr>
          <w:rFonts w:ascii="Times New Roman" w:hAnsi="Times New Roman" w:cs="Times New Roman"/>
          <w:b/>
          <w:sz w:val="24"/>
        </w:rPr>
        <w:t>2.4 Differential expression and multiple-testing correction</w:t>
      </w:r>
    </w:p>
    <w:p w:rsidR="0069636E" w:rsidRPr="0069636E" w:rsidRDefault="0069636E" w:rsidP="0069636E">
      <w:pPr>
        <w:jc w:val="both"/>
        <w:rPr>
          <w:rFonts w:ascii="Times New Roman" w:hAnsi="Times New Roman" w:cs="Times New Roman"/>
          <w:sz w:val="24"/>
        </w:rPr>
      </w:pPr>
      <w:r w:rsidRPr="0069636E">
        <w:rPr>
          <w:rFonts w:ascii="Times New Roman" w:hAnsi="Times New Roman" w:cs="Times New Roman"/>
          <w:sz w:val="24"/>
        </w:rPr>
        <w:t xml:space="preserve">Differential expression was estimated using </w:t>
      </w:r>
      <w:proofErr w:type="spellStart"/>
      <w:r w:rsidRPr="0069636E">
        <w:rPr>
          <w:rFonts w:ascii="Times New Roman" w:hAnsi="Times New Roman" w:cs="Times New Roman"/>
          <w:sz w:val="24"/>
        </w:rPr>
        <w:t>limma</w:t>
      </w:r>
      <w:proofErr w:type="spellEnd"/>
      <w:r w:rsidRPr="0069636E">
        <w:rPr>
          <w:rFonts w:ascii="Times New Roman" w:hAnsi="Times New Roman" w:cs="Times New Roman"/>
          <w:sz w:val="24"/>
        </w:rPr>
        <w:t>. Probe-level results included log2 fold change, average expression, moderated t-statistic, raw p-value, adjusted p-value, and B-statistic. Probes with adjusted p-values below 0.05 were designated statistically significant. The exact preprocessing, annotation package version, and code used to fit the model should accompany the repos</w:t>
      </w:r>
      <w:r>
        <w:rPr>
          <w:rFonts w:ascii="Times New Roman" w:hAnsi="Times New Roman" w:cs="Times New Roman"/>
          <w:sz w:val="24"/>
        </w:rPr>
        <w:t>itory for full reproducibility.</w:t>
      </w:r>
    </w:p>
    <w:p w:rsidR="009E5D05" w:rsidRDefault="009E5D05" w:rsidP="0069636E">
      <w:pPr>
        <w:jc w:val="both"/>
        <w:rPr>
          <w:rFonts w:ascii="Times New Roman" w:hAnsi="Times New Roman" w:cs="Times New Roman"/>
          <w:b/>
          <w:sz w:val="24"/>
        </w:rPr>
      </w:pPr>
    </w:p>
    <w:p w:rsidR="0069636E" w:rsidRPr="0068722C" w:rsidRDefault="0069636E" w:rsidP="009E5D05">
      <w:pPr>
        <w:spacing w:after="0"/>
        <w:jc w:val="both"/>
        <w:rPr>
          <w:rFonts w:ascii="Times New Roman" w:hAnsi="Times New Roman" w:cs="Times New Roman"/>
          <w:b/>
          <w:sz w:val="24"/>
        </w:rPr>
      </w:pPr>
      <w:r w:rsidRPr="0068722C">
        <w:rPr>
          <w:rFonts w:ascii="Times New Roman" w:hAnsi="Times New Roman" w:cs="Times New Roman"/>
          <w:b/>
          <w:sz w:val="24"/>
        </w:rPr>
        <w:t>2.5 Probe annotation and visualizations</w:t>
      </w:r>
    </w:p>
    <w:p w:rsidR="0069636E" w:rsidRPr="0069636E" w:rsidRDefault="0069636E" w:rsidP="0069636E">
      <w:pPr>
        <w:jc w:val="both"/>
        <w:rPr>
          <w:rFonts w:ascii="Times New Roman" w:hAnsi="Times New Roman" w:cs="Times New Roman"/>
          <w:sz w:val="24"/>
        </w:rPr>
      </w:pPr>
      <w:r w:rsidRPr="0069636E">
        <w:rPr>
          <w:rFonts w:ascii="Times New Roman" w:hAnsi="Times New Roman" w:cs="Times New Roman"/>
          <w:sz w:val="24"/>
        </w:rPr>
        <w:t xml:space="preserve">Probe-level results were annotated with gene symbols and gene names. The significant-probe table contained 152 rows and nine columns. A volcano plot displayed log2 fold change against the negative log10 of adjusted p-value, with positive significant changes colored red, negative significant changes blue, and </w:t>
      </w:r>
      <w:proofErr w:type="spellStart"/>
      <w:r w:rsidRPr="0069636E">
        <w:rPr>
          <w:rFonts w:ascii="Times New Roman" w:hAnsi="Times New Roman" w:cs="Times New Roman"/>
          <w:sz w:val="24"/>
        </w:rPr>
        <w:t>nonsignificant</w:t>
      </w:r>
      <w:proofErr w:type="spellEnd"/>
      <w:r w:rsidRPr="0069636E">
        <w:rPr>
          <w:rFonts w:ascii="Times New Roman" w:hAnsi="Times New Roman" w:cs="Times New Roman"/>
          <w:sz w:val="24"/>
        </w:rPr>
        <w:t xml:space="preserve"> probes grey. A </w:t>
      </w:r>
      <w:proofErr w:type="spellStart"/>
      <w:r w:rsidRPr="0069636E">
        <w:rPr>
          <w:rFonts w:ascii="Times New Roman" w:hAnsi="Times New Roman" w:cs="Times New Roman"/>
          <w:sz w:val="24"/>
        </w:rPr>
        <w:t>heatmap</w:t>
      </w:r>
      <w:proofErr w:type="spellEnd"/>
      <w:r w:rsidRPr="0069636E">
        <w:rPr>
          <w:rFonts w:ascii="Times New Roman" w:hAnsi="Times New Roman" w:cs="Times New Roman"/>
          <w:sz w:val="24"/>
        </w:rPr>
        <w:t xml:space="preserve"> was generated for the 20 most statistically significant probes using expression values standardized across samples for each probe. The </w:t>
      </w:r>
      <w:proofErr w:type="spellStart"/>
      <w:r w:rsidRPr="0069636E">
        <w:rPr>
          <w:rFonts w:ascii="Times New Roman" w:hAnsi="Times New Roman" w:cs="Times New Roman"/>
          <w:sz w:val="24"/>
        </w:rPr>
        <w:t>heatmap</w:t>
      </w:r>
      <w:proofErr w:type="spellEnd"/>
      <w:r w:rsidRPr="0069636E">
        <w:rPr>
          <w:rFonts w:ascii="Times New Roman" w:hAnsi="Times New Roman" w:cs="Times New Roman"/>
          <w:sz w:val="24"/>
        </w:rPr>
        <w:t xml:space="preserve"> used hierarchical clusterin</w:t>
      </w:r>
      <w:r>
        <w:rPr>
          <w:rFonts w:ascii="Times New Roman" w:hAnsi="Times New Roman" w:cs="Times New Roman"/>
          <w:sz w:val="24"/>
        </w:rPr>
        <w:t>g to organize rows and columns.</w:t>
      </w:r>
    </w:p>
    <w:p w:rsidR="009E5D05" w:rsidRDefault="009E5D05" w:rsidP="0069636E">
      <w:pPr>
        <w:jc w:val="both"/>
        <w:rPr>
          <w:rFonts w:ascii="Times New Roman" w:hAnsi="Times New Roman" w:cs="Times New Roman"/>
          <w:b/>
          <w:sz w:val="24"/>
        </w:rPr>
      </w:pPr>
    </w:p>
    <w:p w:rsidR="009E5D05" w:rsidRDefault="009E5D05" w:rsidP="0069636E">
      <w:pPr>
        <w:jc w:val="both"/>
        <w:rPr>
          <w:rFonts w:ascii="Times New Roman" w:hAnsi="Times New Roman" w:cs="Times New Roman"/>
          <w:b/>
          <w:sz w:val="24"/>
        </w:rPr>
      </w:pPr>
    </w:p>
    <w:p w:rsidR="0069636E" w:rsidRPr="0068722C" w:rsidRDefault="0069636E" w:rsidP="009E5D05">
      <w:pPr>
        <w:spacing w:after="0"/>
        <w:jc w:val="both"/>
        <w:rPr>
          <w:rFonts w:ascii="Times New Roman" w:hAnsi="Times New Roman" w:cs="Times New Roman"/>
          <w:b/>
          <w:sz w:val="24"/>
        </w:rPr>
      </w:pPr>
      <w:r w:rsidRPr="0068722C">
        <w:rPr>
          <w:rFonts w:ascii="Times New Roman" w:hAnsi="Times New Roman" w:cs="Times New Roman"/>
          <w:b/>
          <w:sz w:val="24"/>
        </w:rPr>
        <w:lastRenderedPageBreak/>
        <w:t>2.6 Reproducibility and data organization</w:t>
      </w:r>
    </w:p>
    <w:p w:rsidR="0069636E" w:rsidRDefault="0069636E" w:rsidP="0069636E">
      <w:pPr>
        <w:jc w:val="both"/>
        <w:rPr>
          <w:rFonts w:ascii="Times New Roman" w:hAnsi="Times New Roman" w:cs="Times New Roman"/>
          <w:sz w:val="24"/>
        </w:rPr>
      </w:pPr>
      <w:r w:rsidRPr="0069636E">
        <w:rPr>
          <w:rFonts w:ascii="Times New Roman" w:hAnsi="Times New Roman" w:cs="Times New Roman"/>
          <w:sz w:val="24"/>
        </w:rPr>
        <w:t>CSV result tables and PNG figures were copied into a project folder, and a README file was created to describe the dataset, outputs, and key limitations. For complete reproducibility, the repository should also include the R script or notebook, R and package versions, the sample metadata table, and clear instructions for obtaining the original GEO data.</w:t>
      </w:r>
    </w:p>
    <w:p w:rsidR="009E5D05" w:rsidRDefault="009E5D05" w:rsidP="0069636E">
      <w:pPr>
        <w:jc w:val="both"/>
        <w:rPr>
          <w:rFonts w:ascii="Times New Roman" w:hAnsi="Times New Roman" w:cs="Times New Roman"/>
          <w:b/>
          <w:sz w:val="28"/>
        </w:rPr>
      </w:pPr>
    </w:p>
    <w:p w:rsidR="0069636E" w:rsidRPr="0069636E" w:rsidRDefault="0069636E" w:rsidP="0069636E">
      <w:pPr>
        <w:jc w:val="both"/>
        <w:rPr>
          <w:rFonts w:ascii="Times New Roman" w:hAnsi="Times New Roman" w:cs="Times New Roman"/>
          <w:b/>
          <w:sz w:val="28"/>
        </w:rPr>
      </w:pPr>
      <w:r w:rsidRPr="0069636E">
        <w:rPr>
          <w:rFonts w:ascii="Times New Roman" w:hAnsi="Times New Roman" w:cs="Times New Roman"/>
          <w:b/>
          <w:sz w:val="28"/>
        </w:rPr>
        <w:t>3. Results</w:t>
      </w:r>
    </w:p>
    <w:p w:rsidR="0069636E" w:rsidRPr="0068722C" w:rsidRDefault="0069636E" w:rsidP="009E5D05">
      <w:pPr>
        <w:spacing w:after="0"/>
        <w:jc w:val="both"/>
        <w:rPr>
          <w:rFonts w:ascii="Times New Roman" w:hAnsi="Times New Roman" w:cs="Times New Roman"/>
          <w:b/>
          <w:sz w:val="24"/>
        </w:rPr>
      </w:pPr>
      <w:r w:rsidRPr="0068722C">
        <w:rPr>
          <w:rFonts w:ascii="Times New Roman" w:hAnsi="Times New Roman" w:cs="Times New Roman"/>
          <w:b/>
          <w:sz w:val="24"/>
        </w:rPr>
        <w:t>3.1 Dataset and model overview</w:t>
      </w:r>
    </w:p>
    <w:p w:rsidR="0069636E" w:rsidRPr="0069636E" w:rsidRDefault="0069636E" w:rsidP="0069636E">
      <w:pPr>
        <w:jc w:val="both"/>
        <w:rPr>
          <w:rFonts w:ascii="Times New Roman" w:hAnsi="Times New Roman" w:cs="Times New Roman"/>
          <w:sz w:val="24"/>
        </w:rPr>
      </w:pPr>
      <w:r w:rsidRPr="0069636E">
        <w:rPr>
          <w:rFonts w:ascii="Times New Roman" w:hAnsi="Times New Roman" w:cs="Times New Roman"/>
          <w:sz w:val="24"/>
        </w:rPr>
        <w:t>The analyzed expression matrix contained 47,231 probes measured in 24 samples. The comparison involved 12 inflammatory samples and 12 normal/reactive samples from the same 12 OA patients. The paired design included subject terms to account for</w:t>
      </w:r>
      <w:r>
        <w:rPr>
          <w:rFonts w:ascii="Times New Roman" w:hAnsi="Times New Roman" w:cs="Times New Roman"/>
          <w:sz w:val="24"/>
        </w:rPr>
        <w:t xml:space="preserve"> within-patient matching.</w:t>
      </w:r>
    </w:p>
    <w:p w:rsidR="009E5D05" w:rsidRDefault="009E5D05" w:rsidP="0069636E">
      <w:pPr>
        <w:jc w:val="both"/>
        <w:rPr>
          <w:rFonts w:ascii="Times New Roman" w:hAnsi="Times New Roman" w:cs="Times New Roman"/>
          <w:b/>
          <w:sz w:val="24"/>
        </w:rPr>
      </w:pPr>
    </w:p>
    <w:p w:rsidR="0069636E" w:rsidRPr="0068722C" w:rsidRDefault="0069636E" w:rsidP="009E5D05">
      <w:pPr>
        <w:spacing w:after="0"/>
        <w:jc w:val="both"/>
        <w:rPr>
          <w:rFonts w:ascii="Times New Roman" w:hAnsi="Times New Roman" w:cs="Times New Roman"/>
          <w:b/>
          <w:sz w:val="24"/>
        </w:rPr>
      </w:pPr>
      <w:r w:rsidRPr="0068722C">
        <w:rPr>
          <w:rFonts w:ascii="Times New Roman" w:hAnsi="Times New Roman" w:cs="Times New Roman"/>
          <w:b/>
          <w:sz w:val="24"/>
        </w:rPr>
        <w:t>3.2 Significant differential-expression results</w:t>
      </w:r>
    </w:p>
    <w:p w:rsidR="0069636E" w:rsidRDefault="0069636E" w:rsidP="0069636E">
      <w:pPr>
        <w:jc w:val="both"/>
        <w:rPr>
          <w:rFonts w:ascii="Times New Roman" w:hAnsi="Times New Roman" w:cs="Times New Roman"/>
          <w:sz w:val="24"/>
        </w:rPr>
      </w:pPr>
      <w:r w:rsidRPr="0069636E">
        <w:rPr>
          <w:rFonts w:ascii="Times New Roman" w:hAnsi="Times New Roman" w:cs="Times New Roman"/>
          <w:sz w:val="24"/>
        </w:rPr>
        <w:t>At an adjusted p-value threshold of less than 0.05, 152 probes were identified as significant. Of these, 120 had positive log2 fold changes and 32 had negative log2 fold changes for inflammatory relative to normal/reactive regions. The significant probes corresponded to 137 unique annotated gene symbols. The counts describe probes and unique symbols separately because multiple probes may map to the same gene.</w:t>
      </w:r>
    </w:p>
    <w:p w:rsidR="0069636E" w:rsidRDefault="0069636E" w:rsidP="0069636E">
      <w:pPr>
        <w:jc w:val="both"/>
        <w:rPr>
          <w:rFonts w:ascii="Times New Roman" w:hAnsi="Times New Roman" w:cs="Times New Roman"/>
          <w:sz w:val="24"/>
        </w:rPr>
      </w:pPr>
    </w:p>
    <w:tbl>
      <w:tblPr>
        <w:tblStyle w:val="TableGrid"/>
        <w:tblW w:w="0" w:type="auto"/>
        <w:tblLook w:val="04A0" w:firstRow="1" w:lastRow="0" w:firstColumn="1" w:lastColumn="0" w:noHBand="0" w:noVBand="1"/>
      </w:tblPr>
      <w:tblGrid>
        <w:gridCol w:w="4675"/>
        <w:gridCol w:w="4675"/>
      </w:tblGrid>
      <w:tr w:rsidR="00BA1B5B" w:rsidTr="00BA1B5B">
        <w:tc>
          <w:tcPr>
            <w:tcW w:w="4675" w:type="dxa"/>
          </w:tcPr>
          <w:p w:rsidR="00BA1B5B" w:rsidRDefault="00BA1B5B" w:rsidP="0069636E">
            <w:pPr>
              <w:jc w:val="both"/>
              <w:rPr>
                <w:rFonts w:ascii="Times New Roman" w:hAnsi="Times New Roman" w:cs="Times New Roman"/>
                <w:sz w:val="24"/>
              </w:rPr>
            </w:pPr>
            <w:r>
              <w:rPr>
                <w:rFonts w:ascii="Times New Roman" w:hAnsi="Times New Roman" w:cs="Times New Roman"/>
                <w:sz w:val="24"/>
              </w:rPr>
              <w:t>Metric</w:t>
            </w:r>
          </w:p>
          <w:p w:rsidR="00BA1B5B" w:rsidRDefault="00BA1B5B" w:rsidP="0069636E">
            <w:pPr>
              <w:jc w:val="both"/>
              <w:rPr>
                <w:rFonts w:ascii="Times New Roman" w:hAnsi="Times New Roman" w:cs="Times New Roman"/>
                <w:sz w:val="24"/>
              </w:rPr>
            </w:pPr>
          </w:p>
        </w:tc>
        <w:tc>
          <w:tcPr>
            <w:tcW w:w="4675" w:type="dxa"/>
          </w:tcPr>
          <w:p w:rsidR="00BA1B5B" w:rsidRDefault="00BA1B5B" w:rsidP="0069636E">
            <w:pPr>
              <w:jc w:val="both"/>
              <w:rPr>
                <w:rFonts w:ascii="Times New Roman" w:hAnsi="Times New Roman" w:cs="Times New Roman"/>
                <w:sz w:val="24"/>
              </w:rPr>
            </w:pPr>
            <w:r>
              <w:rPr>
                <w:rFonts w:ascii="Times New Roman" w:hAnsi="Times New Roman" w:cs="Times New Roman"/>
                <w:sz w:val="24"/>
              </w:rPr>
              <w:t>Result</w:t>
            </w:r>
          </w:p>
          <w:p w:rsidR="00BA1B5B" w:rsidRDefault="00BA1B5B" w:rsidP="0069636E">
            <w:pPr>
              <w:jc w:val="both"/>
              <w:rPr>
                <w:rFonts w:ascii="Times New Roman" w:hAnsi="Times New Roman" w:cs="Times New Roman"/>
                <w:sz w:val="24"/>
              </w:rPr>
            </w:pPr>
          </w:p>
        </w:tc>
      </w:tr>
      <w:tr w:rsidR="00BA1B5B" w:rsidTr="00BA1B5B">
        <w:tc>
          <w:tcPr>
            <w:tcW w:w="4675" w:type="dxa"/>
          </w:tcPr>
          <w:p w:rsidR="00BA1B5B" w:rsidRDefault="00BA1B5B" w:rsidP="0069636E">
            <w:pPr>
              <w:jc w:val="both"/>
              <w:rPr>
                <w:rFonts w:ascii="Times New Roman" w:hAnsi="Times New Roman" w:cs="Times New Roman"/>
                <w:sz w:val="24"/>
              </w:rPr>
            </w:pPr>
            <w:r w:rsidRPr="00BA1B5B">
              <w:rPr>
                <w:rFonts w:ascii="Times New Roman" w:hAnsi="Times New Roman" w:cs="Times New Roman"/>
                <w:sz w:val="24"/>
              </w:rPr>
              <w:t>Samples analyzed</w:t>
            </w:r>
          </w:p>
        </w:tc>
        <w:tc>
          <w:tcPr>
            <w:tcW w:w="4675" w:type="dxa"/>
          </w:tcPr>
          <w:p w:rsidR="00BA1B5B" w:rsidRDefault="00BA1B5B" w:rsidP="0069636E">
            <w:pPr>
              <w:jc w:val="both"/>
              <w:rPr>
                <w:rFonts w:ascii="Times New Roman" w:hAnsi="Times New Roman" w:cs="Times New Roman"/>
                <w:sz w:val="24"/>
              </w:rPr>
            </w:pPr>
            <w:r>
              <w:rPr>
                <w:rFonts w:ascii="Times New Roman" w:hAnsi="Times New Roman" w:cs="Times New Roman"/>
                <w:sz w:val="24"/>
              </w:rPr>
              <w:t>24</w:t>
            </w:r>
          </w:p>
        </w:tc>
      </w:tr>
      <w:tr w:rsidR="00BA1B5B" w:rsidTr="00BA1B5B">
        <w:tc>
          <w:tcPr>
            <w:tcW w:w="4675" w:type="dxa"/>
          </w:tcPr>
          <w:p w:rsidR="00BA1B5B" w:rsidRDefault="00BA1B5B" w:rsidP="0069636E">
            <w:pPr>
              <w:jc w:val="both"/>
              <w:rPr>
                <w:rFonts w:ascii="Times New Roman" w:hAnsi="Times New Roman" w:cs="Times New Roman"/>
                <w:sz w:val="24"/>
              </w:rPr>
            </w:pPr>
            <w:r w:rsidRPr="00BA1B5B">
              <w:rPr>
                <w:rFonts w:ascii="Times New Roman" w:hAnsi="Times New Roman" w:cs="Times New Roman"/>
                <w:sz w:val="24"/>
              </w:rPr>
              <w:t>Patients represented</w:t>
            </w:r>
          </w:p>
        </w:tc>
        <w:tc>
          <w:tcPr>
            <w:tcW w:w="4675" w:type="dxa"/>
          </w:tcPr>
          <w:p w:rsidR="00BA1B5B" w:rsidRDefault="00BA1B5B" w:rsidP="0069636E">
            <w:pPr>
              <w:jc w:val="both"/>
              <w:rPr>
                <w:rFonts w:ascii="Times New Roman" w:hAnsi="Times New Roman" w:cs="Times New Roman"/>
                <w:sz w:val="24"/>
              </w:rPr>
            </w:pPr>
            <w:r>
              <w:rPr>
                <w:rFonts w:ascii="Times New Roman" w:hAnsi="Times New Roman" w:cs="Times New Roman"/>
                <w:sz w:val="24"/>
              </w:rPr>
              <w:t>12</w:t>
            </w:r>
          </w:p>
        </w:tc>
      </w:tr>
      <w:tr w:rsidR="00BA1B5B" w:rsidTr="00BA1B5B">
        <w:tc>
          <w:tcPr>
            <w:tcW w:w="4675" w:type="dxa"/>
          </w:tcPr>
          <w:p w:rsidR="00BA1B5B" w:rsidRDefault="00BA1B5B" w:rsidP="0069636E">
            <w:pPr>
              <w:jc w:val="both"/>
              <w:rPr>
                <w:rFonts w:ascii="Times New Roman" w:hAnsi="Times New Roman" w:cs="Times New Roman"/>
                <w:sz w:val="24"/>
              </w:rPr>
            </w:pPr>
            <w:r w:rsidRPr="00BA1B5B">
              <w:rPr>
                <w:rFonts w:ascii="Times New Roman" w:hAnsi="Times New Roman" w:cs="Times New Roman"/>
                <w:sz w:val="24"/>
              </w:rPr>
              <w:t>Significant probes (adjusted p &lt; 0.05)</w:t>
            </w:r>
          </w:p>
        </w:tc>
        <w:tc>
          <w:tcPr>
            <w:tcW w:w="4675" w:type="dxa"/>
          </w:tcPr>
          <w:p w:rsidR="00BA1B5B" w:rsidRDefault="00BA1B5B" w:rsidP="0069636E">
            <w:pPr>
              <w:jc w:val="both"/>
              <w:rPr>
                <w:rFonts w:ascii="Times New Roman" w:hAnsi="Times New Roman" w:cs="Times New Roman"/>
                <w:sz w:val="24"/>
              </w:rPr>
            </w:pPr>
            <w:r>
              <w:rPr>
                <w:rFonts w:ascii="Times New Roman" w:hAnsi="Times New Roman" w:cs="Times New Roman"/>
                <w:sz w:val="24"/>
              </w:rPr>
              <w:t>152</w:t>
            </w:r>
          </w:p>
        </w:tc>
      </w:tr>
      <w:tr w:rsidR="00BA1B5B" w:rsidTr="00BA1B5B">
        <w:tc>
          <w:tcPr>
            <w:tcW w:w="4675" w:type="dxa"/>
          </w:tcPr>
          <w:p w:rsidR="00BA1B5B" w:rsidRDefault="00BA1B5B" w:rsidP="0069636E">
            <w:pPr>
              <w:jc w:val="both"/>
              <w:rPr>
                <w:rFonts w:ascii="Times New Roman" w:hAnsi="Times New Roman" w:cs="Times New Roman"/>
                <w:sz w:val="24"/>
              </w:rPr>
            </w:pPr>
            <w:r w:rsidRPr="00BA1B5B">
              <w:rPr>
                <w:rFonts w:ascii="Times New Roman" w:hAnsi="Times New Roman" w:cs="Times New Roman"/>
                <w:sz w:val="24"/>
              </w:rPr>
              <w:t>Positive log2 fold change</w:t>
            </w:r>
          </w:p>
        </w:tc>
        <w:tc>
          <w:tcPr>
            <w:tcW w:w="4675" w:type="dxa"/>
          </w:tcPr>
          <w:p w:rsidR="00BA1B5B" w:rsidRDefault="00BA1B5B" w:rsidP="0069636E">
            <w:pPr>
              <w:jc w:val="both"/>
              <w:rPr>
                <w:rFonts w:ascii="Times New Roman" w:hAnsi="Times New Roman" w:cs="Times New Roman"/>
                <w:sz w:val="24"/>
              </w:rPr>
            </w:pPr>
            <w:r>
              <w:rPr>
                <w:rFonts w:ascii="Times New Roman" w:hAnsi="Times New Roman" w:cs="Times New Roman"/>
                <w:sz w:val="24"/>
              </w:rPr>
              <w:t>120</w:t>
            </w:r>
          </w:p>
        </w:tc>
      </w:tr>
      <w:tr w:rsidR="00BA1B5B" w:rsidTr="00BA1B5B">
        <w:tc>
          <w:tcPr>
            <w:tcW w:w="4675" w:type="dxa"/>
          </w:tcPr>
          <w:p w:rsidR="00BA1B5B" w:rsidRDefault="00BA1B5B" w:rsidP="0069636E">
            <w:pPr>
              <w:jc w:val="both"/>
              <w:rPr>
                <w:rFonts w:ascii="Times New Roman" w:hAnsi="Times New Roman" w:cs="Times New Roman"/>
                <w:sz w:val="24"/>
              </w:rPr>
            </w:pPr>
            <w:r w:rsidRPr="00BA1B5B">
              <w:rPr>
                <w:rFonts w:ascii="Times New Roman" w:hAnsi="Times New Roman" w:cs="Times New Roman"/>
                <w:sz w:val="24"/>
              </w:rPr>
              <w:t>Negative log2 fold change</w:t>
            </w:r>
          </w:p>
        </w:tc>
        <w:tc>
          <w:tcPr>
            <w:tcW w:w="4675" w:type="dxa"/>
          </w:tcPr>
          <w:p w:rsidR="00BA1B5B" w:rsidRDefault="00BA1B5B" w:rsidP="0069636E">
            <w:pPr>
              <w:jc w:val="both"/>
              <w:rPr>
                <w:rFonts w:ascii="Times New Roman" w:hAnsi="Times New Roman" w:cs="Times New Roman"/>
                <w:sz w:val="24"/>
              </w:rPr>
            </w:pPr>
            <w:r>
              <w:rPr>
                <w:rFonts w:ascii="Times New Roman" w:hAnsi="Times New Roman" w:cs="Times New Roman"/>
                <w:sz w:val="24"/>
              </w:rPr>
              <w:t>32</w:t>
            </w:r>
          </w:p>
        </w:tc>
      </w:tr>
      <w:tr w:rsidR="00BA1B5B" w:rsidTr="00BA1B5B">
        <w:tc>
          <w:tcPr>
            <w:tcW w:w="4675" w:type="dxa"/>
          </w:tcPr>
          <w:p w:rsidR="00BA1B5B" w:rsidRDefault="00BA1B5B" w:rsidP="0069636E">
            <w:pPr>
              <w:jc w:val="both"/>
              <w:rPr>
                <w:rFonts w:ascii="Times New Roman" w:hAnsi="Times New Roman" w:cs="Times New Roman"/>
                <w:sz w:val="24"/>
              </w:rPr>
            </w:pPr>
            <w:r w:rsidRPr="00BA1B5B">
              <w:rPr>
                <w:rFonts w:ascii="Times New Roman" w:hAnsi="Times New Roman" w:cs="Times New Roman"/>
                <w:sz w:val="24"/>
              </w:rPr>
              <w:t>Unique annotated gene symbols</w:t>
            </w:r>
          </w:p>
        </w:tc>
        <w:tc>
          <w:tcPr>
            <w:tcW w:w="4675" w:type="dxa"/>
          </w:tcPr>
          <w:p w:rsidR="00BA1B5B" w:rsidRDefault="00BA1B5B" w:rsidP="0069636E">
            <w:pPr>
              <w:jc w:val="both"/>
              <w:rPr>
                <w:rFonts w:ascii="Times New Roman" w:hAnsi="Times New Roman" w:cs="Times New Roman"/>
                <w:sz w:val="24"/>
              </w:rPr>
            </w:pPr>
            <w:r>
              <w:rPr>
                <w:rFonts w:ascii="Times New Roman" w:hAnsi="Times New Roman" w:cs="Times New Roman"/>
                <w:sz w:val="24"/>
              </w:rPr>
              <w:t>37</w:t>
            </w:r>
          </w:p>
        </w:tc>
      </w:tr>
    </w:tbl>
    <w:p w:rsidR="0069636E" w:rsidRDefault="0069636E" w:rsidP="0069636E">
      <w:pPr>
        <w:jc w:val="both"/>
        <w:rPr>
          <w:rFonts w:ascii="Times New Roman" w:hAnsi="Times New Roman" w:cs="Times New Roman"/>
          <w:sz w:val="24"/>
        </w:rPr>
      </w:pPr>
    </w:p>
    <w:p w:rsidR="00BA1B5B" w:rsidRPr="0068722C" w:rsidRDefault="00BA1B5B" w:rsidP="009E5D05">
      <w:pPr>
        <w:spacing w:after="0"/>
        <w:jc w:val="both"/>
        <w:rPr>
          <w:rFonts w:ascii="Times New Roman" w:hAnsi="Times New Roman" w:cs="Times New Roman"/>
          <w:b/>
          <w:sz w:val="24"/>
        </w:rPr>
      </w:pPr>
      <w:r w:rsidRPr="0068722C">
        <w:rPr>
          <w:rFonts w:ascii="Times New Roman" w:hAnsi="Times New Roman" w:cs="Times New Roman"/>
          <w:b/>
          <w:sz w:val="24"/>
        </w:rPr>
        <w:t>3.3 Top-ranked probes</w:t>
      </w:r>
    </w:p>
    <w:p w:rsidR="00BA1B5B" w:rsidRDefault="00BA1B5B" w:rsidP="00BA1B5B">
      <w:pPr>
        <w:jc w:val="both"/>
        <w:rPr>
          <w:rFonts w:ascii="Times New Roman" w:hAnsi="Times New Roman" w:cs="Times New Roman"/>
          <w:sz w:val="24"/>
        </w:rPr>
      </w:pPr>
      <w:r w:rsidRPr="00BA1B5B">
        <w:rPr>
          <w:rFonts w:ascii="Times New Roman" w:hAnsi="Times New Roman" w:cs="Times New Roman"/>
          <w:sz w:val="24"/>
        </w:rPr>
        <w:t>The ten top-ranked probes by adjusted p-value included CD48, MATN2, SNTB1, MAN1C1, IRF8, TNFRSF21, LRRN1, CCL2, PLA2G7, and AHNAK. All ten had adjusted p-values below 0.05. PLA2G7 had the largest positive log2 fold change among these ten probes (1.223), while MATN2 had the largest negative log2 fold change (-0.935).</w:t>
      </w:r>
    </w:p>
    <w:tbl>
      <w:tblPr>
        <w:tblStyle w:val="TableGrid"/>
        <w:tblW w:w="0" w:type="auto"/>
        <w:tblLook w:val="04A0" w:firstRow="1" w:lastRow="0" w:firstColumn="1" w:lastColumn="0" w:noHBand="0" w:noVBand="1"/>
      </w:tblPr>
      <w:tblGrid>
        <w:gridCol w:w="3116"/>
        <w:gridCol w:w="3117"/>
        <w:gridCol w:w="3117"/>
      </w:tblGrid>
      <w:tr w:rsidR="00BA1B5B" w:rsidTr="00BA1B5B">
        <w:tc>
          <w:tcPr>
            <w:tcW w:w="3116" w:type="dxa"/>
          </w:tcPr>
          <w:p w:rsidR="00BA1B5B" w:rsidRDefault="00BA1B5B" w:rsidP="00BA1B5B">
            <w:pPr>
              <w:jc w:val="both"/>
              <w:rPr>
                <w:rFonts w:ascii="Times New Roman" w:hAnsi="Times New Roman" w:cs="Times New Roman"/>
                <w:sz w:val="24"/>
              </w:rPr>
            </w:pPr>
            <w:r w:rsidRPr="00BA1B5B">
              <w:rPr>
                <w:rFonts w:ascii="Times New Roman" w:hAnsi="Times New Roman" w:cs="Times New Roman"/>
                <w:sz w:val="24"/>
              </w:rPr>
              <w:t>Gene symbol</w:t>
            </w:r>
          </w:p>
        </w:tc>
        <w:tc>
          <w:tcPr>
            <w:tcW w:w="3117" w:type="dxa"/>
          </w:tcPr>
          <w:p w:rsidR="00BA1B5B" w:rsidRDefault="00BA1B5B" w:rsidP="00BA1B5B">
            <w:pPr>
              <w:jc w:val="both"/>
              <w:rPr>
                <w:rFonts w:ascii="Times New Roman" w:hAnsi="Times New Roman" w:cs="Times New Roman"/>
                <w:sz w:val="24"/>
              </w:rPr>
            </w:pPr>
            <w:r w:rsidRPr="00BA1B5B">
              <w:rPr>
                <w:rFonts w:ascii="Times New Roman" w:hAnsi="Times New Roman" w:cs="Times New Roman"/>
                <w:sz w:val="24"/>
              </w:rPr>
              <w:t>log2 fold change</w:t>
            </w:r>
          </w:p>
        </w:tc>
        <w:tc>
          <w:tcPr>
            <w:tcW w:w="3117" w:type="dxa"/>
          </w:tcPr>
          <w:p w:rsidR="00BA1B5B" w:rsidRDefault="00BA1B5B" w:rsidP="00BA1B5B">
            <w:pPr>
              <w:jc w:val="both"/>
              <w:rPr>
                <w:rFonts w:ascii="Times New Roman" w:hAnsi="Times New Roman" w:cs="Times New Roman"/>
                <w:sz w:val="24"/>
              </w:rPr>
            </w:pPr>
            <w:r w:rsidRPr="00BA1B5B">
              <w:rPr>
                <w:rFonts w:ascii="Times New Roman" w:hAnsi="Times New Roman" w:cs="Times New Roman"/>
                <w:sz w:val="24"/>
              </w:rPr>
              <w:t>Adjusted p-value</w:t>
            </w:r>
          </w:p>
        </w:tc>
      </w:tr>
      <w:tr w:rsidR="0068722C" w:rsidTr="00BA1B5B">
        <w:tc>
          <w:tcPr>
            <w:tcW w:w="3116" w:type="dxa"/>
          </w:tcPr>
          <w:p w:rsidR="0068722C" w:rsidRPr="00BA1B5B" w:rsidRDefault="0068722C" w:rsidP="0068722C">
            <w:pPr>
              <w:jc w:val="both"/>
              <w:rPr>
                <w:rFonts w:ascii="Times New Roman" w:hAnsi="Times New Roman" w:cs="Times New Roman"/>
                <w:sz w:val="24"/>
              </w:rPr>
            </w:pPr>
            <w:r w:rsidRPr="00BA1B5B">
              <w:rPr>
                <w:rFonts w:ascii="Times New Roman" w:hAnsi="Times New Roman" w:cs="Times New Roman"/>
                <w:sz w:val="24"/>
              </w:rPr>
              <w:t>CD48</w:t>
            </w:r>
          </w:p>
        </w:tc>
        <w:tc>
          <w:tcPr>
            <w:tcW w:w="3117" w:type="dxa"/>
          </w:tcPr>
          <w:p w:rsidR="0068722C" w:rsidRDefault="0068722C" w:rsidP="0068722C">
            <w:pPr>
              <w:jc w:val="both"/>
              <w:rPr>
                <w:rFonts w:ascii="Times New Roman" w:hAnsi="Times New Roman" w:cs="Times New Roman"/>
                <w:sz w:val="24"/>
              </w:rPr>
            </w:pPr>
            <w:r w:rsidRPr="00D13E33">
              <w:rPr>
                <w:rFonts w:ascii="Times New Roman" w:hAnsi="Times New Roman" w:cs="Times New Roman"/>
                <w:sz w:val="24"/>
              </w:rPr>
              <w:t>0.8083</w:t>
            </w:r>
          </w:p>
        </w:tc>
        <w:tc>
          <w:tcPr>
            <w:tcW w:w="3117" w:type="dxa"/>
          </w:tcPr>
          <w:p w:rsidR="0068722C" w:rsidRDefault="0068722C" w:rsidP="0068722C">
            <w:pPr>
              <w:jc w:val="both"/>
              <w:rPr>
                <w:rFonts w:ascii="Times New Roman" w:hAnsi="Times New Roman" w:cs="Times New Roman"/>
                <w:sz w:val="24"/>
              </w:rPr>
            </w:pPr>
            <w:r w:rsidRPr="00127215">
              <w:rPr>
                <w:rFonts w:ascii="Times New Roman" w:hAnsi="Times New Roman" w:cs="Times New Roman"/>
                <w:sz w:val="24"/>
              </w:rPr>
              <w:t>0.02243022</w:t>
            </w:r>
          </w:p>
        </w:tc>
      </w:tr>
      <w:tr w:rsidR="0068722C" w:rsidTr="00BA1B5B">
        <w:tc>
          <w:tcPr>
            <w:tcW w:w="3116" w:type="dxa"/>
          </w:tcPr>
          <w:p w:rsidR="0068722C" w:rsidRDefault="0068722C" w:rsidP="0068722C">
            <w:pPr>
              <w:jc w:val="both"/>
              <w:rPr>
                <w:rFonts w:ascii="Times New Roman" w:hAnsi="Times New Roman" w:cs="Times New Roman"/>
                <w:sz w:val="24"/>
              </w:rPr>
            </w:pPr>
            <w:r>
              <w:rPr>
                <w:rFonts w:ascii="Times New Roman" w:hAnsi="Times New Roman" w:cs="Times New Roman"/>
                <w:sz w:val="24"/>
              </w:rPr>
              <w:t>MTN2</w:t>
            </w:r>
          </w:p>
        </w:tc>
        <w:tc>
          <w:tcPr>
            <w:tcW w:w="3117" w:type="dxa"/>
          </w:tcPr>
          <w:p w:rsidR="0068722C" w:rsidRDefault="0068722C" w:rsidP="0068722C">
            <w:pPr>
              <w:jc w:val="both"/>
              <w:rPr>
                <w:rFonts w:ascii="Times New Roman" w:hAnsi="Times New Roman" w:cs="Times New Roman"/>
                <w:sz w:val="24"/>
              </w:rPr>
            </w:pPr>
            <w:r w:rsidRPr="00D13E33">
              <w:rPr>
                <w:rFonts w:ascii="Times New Roman" w:hAnsi="Times New Roman" w:cs="Times New Roman"/>
                <w:sz w:val="24"/>
              </w:rPr>
              <w:t>-0.9352</w:t>
            </w:r>
          </w:p>
        </w:tc>
        <w:tc>
          <w:tcPr>
            <w:tcW w:w="3117" w:type="dxa"/>
          </w:tcPr>
          <w:p w:rsidR="0068722C" w:rsidRDefault="0068722C" w:rsidP="0068722C">
            <w:pPr>
              <w:jc w:val="both"/>
              <w:rPr>
                <w:rFonts w:ascii="Times New Roman" w:hAnsi="Times New Roman" w:cs="Times New Roman"/>
                <w:sz w:val="24"/>
              </w:rPr>
            </w:pPr>
            <w:r w:rsidRPr="00127215">
              <w:rPr>
                <w:rFonts w:ascii="Times New Roman" w:hAnsi="Times New Roman" w:cs="Times New Roman"/>
                <w:sz w:val="24"/>
              </w:rPr>
              <w:t>0.02243022</w:t>
            </w:r>
          </w:p>
        </w:tc>
      </w:tr>
      <w:tr w:rsidR="0068722C" w:rsidTr="00BA1B5B">
        <w:tc>
          <w:tcPr>
            <w:tcW w:w="3116" w:type="dxa"/>
          </w:tcPr>
          <w:p w:rsidR="0068722C" w:rsidRDefault="0068722C" w:rsidP="0068722C">
            <w:pPr>
              <w:jc w:val="both"/>
              <w:rPr>
                <w:rFonts w:ascii="Times New Roman" w:hAnsi="Times New Roman" w:cs="Times New Roman"/>
                <w:sz w:val="24"/>
              </w:rPr>
            </w:pPr>
            <w:r>
              <w:rPr>
                <w:rFonts w:ascii="Times New Roman" w:hAnsi="Times New Roman" w:cs="Times New Roman"/>
                <w:sz w:val="24"/>
              </w:rPr>
              <w:t>SNTB1</w:t>
            </w:r>
          </w:p>
        </w:tc>
        <w:tc>
          <w:tcPr>
            <w:tcW w:w="3117" w:type="dxa"/>
          </w:tcPr>
          <w:p w:rsidR="0068722C" w:rsidRDefault="0068722C" w:rsidP="0068722C">
            <w:pPr>
              <w:jc w:val="both"/>
              <w:rPr>
                <w:rFonts w:ascii="Times New Roman" w:hAnsi="Times New Roman" w:cs="Times New Roman"/>
                <w:sz w:val="24"/>
              </w:rPr>
            </w:pPr>
            <w:r w:rsidRPr="00D13E33">
              <w:rPr>
                <w:rFonts w:ascii="Times New Roman" w:hAnsi="Times New Roman" w:cs="Times New Roman"/>
                <w:sz w:val="24"/>
              </w:rPr>
              <w:t>0.3778</w:t>
            </w:r>
          </w:p>
        </w:tc>
        <w:tc>
          <w:tcPr>
            <w:tcW w:w="3117" w:type="dxa"/>
          </w:tcPr>
          <w:p w:rsidR="0068722C" w:rsidRDefault="0068722C" w:rsidP="0068722C">
            <w:pPr>
              <w:jc w:val="both"/>
              <w:rPr>
                <w:rFonts w:ascii="Times New Roman" w:hAnsi="Times New Roman" w:cs="Times New Roman"/>
                <w:sz w:val="24"/>
              </w:rPr>
            </w:pPr>
            <w:r w:rsidRPr="00127215">
              <w:rPr>
                <w:rFonts w:ascii="Times New Roman" w:hAnsi="Times New Roman" w:cs="Times New Roman"/>
                <w:sz w:val="24"/>
              </w:rPr>
              <w:t>0.02243022</w:t>
            </w:r>
          </w:p>
        </w:tc>
      </w:tr>
      <w:tr w:rsidR="0068722C" w:rsidTr="00BA1B5B">
        <w:tc>
          <w:tcPr>
            <w:tcW w:w="3116" w:type="dxa"/>
          </w:tcPr>
          <w:p w:rsidR="0068722C" w:rsidRDefault="0068722C" w:rsidP="0068722C">
            <w:pPr>
              <w:jc w:val="both"/>
              <w:rPr>
                <w:rFonts w:ascii="Times New Roman" w:hAnsi="Times New Roman" w:cs="Times New Roman"/>
                <w:sz w:val="24"/>
              </w:rPr>
            </w:pPr>
            <w:r>
              <w:rPr>
                <w:rFonts w:ascii="Times New Roman" w:hAnsi="Times New Roman" w:cs="Times New Roman"/>
                <w:sz w:val="24"/>
              </w:rPr>
              <w:t>MAN1C1</w:t>
            </w:r>
          </w:p>
        </w:tc>
        <w:tc>
          <w:tcPr>
            <w:tcW w:w="3117" w:type="dxa"/>
          </w:tcPr>
          <w:p w:rsidR="0068722C" w:rsidRDefault="0068722C" w:rsidP="0068722C">
            <w:pPr>
              <w:jc w:val="both"/>
              <w:rPr>
                <w:rFonts w:ascii="Times New Roman" w:hAnsi="Times New Roman" w:cs="Times New Roman"/>
                <w:sz w:val="24"/>
              </w:rPr>
            </w:pPr>
            <w:r w:rsidRPr="00D13E33">
              <w:rPr>
                <w:rFonts w:ascii="Times New Roman" w:hAnsi="Times New Roman" w:cs="Times New Roman"/>
                <w:sz w:val="24"/>
              </w:rPr>
              <w:t>0.6739</w:t>
            </w:r>
          </w:p>
        </w:tc>
        <w:tc>
          <w:tcPr>
            <w:tcW w:w="3117" w:type="dxa"/>
          </w:tcPr>
          <w:p w:rsidR="0068722C" w:rsidRDefault="0068722C" w:rsidP="0068722C">
            <w:pPr>
              <w:jc w:val="both"/>
              <w:rPr>
                <w:rFonts w:ascii="Times New Roman" w:hAnsi="Times New Roman" w:cs="Times New Roman"/>
                <w:sz w:val="24"/>
              </w:rPr>
            </w:pPr>
            <w:r w:rsidRPr="00127215">
              <w:rPr>
                <w:rFonts w:ascii="Times New Roman" w:hAnsi="Times New Roman" w:cs="Times New Roman"/>
                <w:sz w:val="24"/>
              </w:rPr>
              <w:t>0.02416472</w:t>
            </w:r>
          </w:p>
        </w:tc>
      </w:tr>
      <w:tr w:rsidR="0068722C" w:rsidTr="00BA1B5B">
        <w:tc>
          <w:tcPr>
            <w:tcW w:w="3116" w:type="dxa"/>
          </w:tcPr>
          <w:p w:rsidR="0068722C" w:rsidRDefault="0068722C" w:rsidP="0068722C">
            <w:pPr>
              <w:jc w:val="both"/>
              <w:rPr>
                <w:rFonts w:ascii="Times New Roman" w:hAnsi="Times New Roman" w:cs="Times New Roman"/>
                <w:sz w:val="24"/>
              </w:rPr>
            </w:pPr>
            <w:r>
              <w:rPr>
                <w:rFonts w:ascii="Times New Roman" w:hAnsi="Times New Roman" w:cs="Times New Roman"/>
                <w:sz w:val="24"/>
              </w:rPr>
              <w:lastRenderedPageBreak/>
              <w:t>IRF8</w:t>
            </w:r>
          </w:p>
        </w:tc>
        <w:tc>
          <w:tcPr>
            <w:tcW w:w="3117" w:type="dxa"/>
          </w:tcPr>
          <w:p w:rsidR="0068722C" w:rsidRDefault="0068722C" w:rsidP="0068722C">
            <w:pPr>
              <w:jc w:val="both"/>
              <w:rPr>
                <w:rFonts w:ascii="Times New Roman" w:hAnsi="Times New Roman" w:cs="Times New Roman"/>
                <w:sz w:val="24"/>
              </w:rPr>
            </w:pPr>
            <w:r>
              <w:rPr>
                <w:rFonts w:ascii="Times New Roman" w:hAnsi="Times New Roman" w:cs="Times New Roman"/>
                <w:sz w:val="24"/>
              </w:rPr>
              <w:t>0.6869</w:t>
            </w:r>
          </w:p>
        </w:tc>
        <w:tc>
          <w:tcPr>
            <w:tcW w:w="3117" w:type="dxa"/>
          </w:tcPr>
          <w:p w:rsidR="0068722C" w:rsidRDefault="0068722C" w:rsidP="0068722C">
            <w:pPr>
              <w:jc w:val="both"/>
              <w:rPr>
                <w:rFonts w:ascii="Times New Roman" w:hAnsi="Times New Roman" w:cs="Times New Roman"/>
                <w:sz w:val="24"/>
              </w:rPr>
            </w:pPr>
            <w:r w:rsidRPr="00127215">
              <w:rPr>
                <w:rFonts w:ascii="Times New Roman" w:hAnsi="Times New Roman" w:cs="Times New Roman"/>
                <w:sz w:val="24"/>
              </w:rPr>
              <w:t>0.02744388</w:t>
            </w:r>
          </w:p>
        </w:tc>
      </w:tr>
      <w:tr w:rsidR="0068722C" w:rsidTr="00BA1B5B">
        <w:tc>
          <w:tcPr>
            <w:tcW w:w="3116" w:type="dxa"/>
          </w:tcPr>
          <w:p w:rsidR="0068722C" w:rsidRDefault="0068722C" w:rsidP="0068722C">
            <w:pPr>
              <w:jc w:val="both"/>
              <w:rPr>
                <w:rFonts w:ascii="Times New Roman" w:hAnsi="Times New Roman" w:cs="Times New Roman"/>
                <w:sz w:val="24"/>
              </w:rPr>
            </w:pPr>
            <w:r w:rsidRPr="00D13E33">
              <w:rPr>
                <w:rFonts w:ascii="Times New Roman" w:hAnsi="Times New Roman" w:cs="Times New Roman"/>
                <w:sz w:val="24"/>
              </w:rPr>
              <w:t>TNFRSF21</w:t>
            </w:r>
          </w:p>
        </w:tc>
        <w:tc>
          <w:tcPr>
            <w:tcW w:w="3117" w:type="dxa"/>
          </w:tcPr>
          <w:p w:rsidR="0068722C" w:rsidRDefault="0068722C" w:rsidP="0068722C">
            <w:pPr>
              <w:jc w:val="both"/>
              <w:rPr>
                <w:rFonts w:ascii="Times New Roman" w:hAnsi="Times New Roman" w:cs="Times New Roman"/>
                <w:sz w:val="24"/>
              </w:rPr>
            </w:pPr>
            <w:r w:rsidRPr="00981BEA">
              <w:rPr>
                <w:rFonts w:ascii="Times New Roman" w:hAnsi="Times New Roman" w:cs="Times New Roman"/>
                <w:sz w:val="24"/>
              </w:rPr>
              <w:t>0.9950</w:t>
            </w:r>
          </w:p>
        </w:tc>
        <w:tc>
          <w:tcPr>
            <w:tcW w:w="3117" w:type="dxa"/>
          </w:tcPr>
          <w:p w:rsidR="0068722C" w:rsidRDefault="0068722C" w:rsidP="0068722C">
            <w:pPr>
              <w:jc w:val="both"/>
              <w:rPr>
                <w:rFonts w:ascii="Times New Roman" w:hAnsi="Times New Roman" w:cs="Times New Roman"/>
                <w:sz w:val="24"/>
              </w:rPr>
            </w:pPr>
            <w:r w:rsidRPr="00127215">
              <w:rPr>
                <w:rFonts w:ascii="Times New Roman" w:hAnsi="Times New Roman" w:cs="Times New Roman"/>
                <w:sz w:val="24"/>
              </w:rPr>
              <w:t>0.02744388</w:t>
            </w:r>
          </w:p>
        </w:tc>
      </w:tr>
      <w:tr w:rsidR="0068722C" w:rsidTr="00BA1B5B">
        <w:tc>
          <w:tcPr>
            <w:tcW w:w="3116" w:type="dxa"/>
          </w:tcPr>
          <w:p w:rsidR="0068722C" w:rsidRPr="00D13E33" w:rsidRDefault="0068722C" w:rsidP="0068722C">
            <w:pPr>
              <w:jc w:val="both"/>
              <w:rPr>
                <w:rFonts w:ascii="Times New Roman" w:hAnsi="Times New Roman" w:cs="Times New Roman"/>
                <w:sz w:val="24"/>
              </w:rPr>
            </w:pPr>
            <w:r w:rsidRPr="00981BEA">
              <w:rPr>
                <w:rFonts w:ascii="Times New Roman" w:hAnsi="Times New Roman" w:cs="Times New Roman"/>
                <w:sz w:val="24"/>
              </w:rPr>
              <w:t>CCL2</w:t>
            </w:r>
          </w:p>
        </w:tc>
        <w:tc>
          <w:tcPr>
            <w:tcW w:w="3117" w:type="dxa"/>
          </w:tcPr>
          <w:p w:rsidR="0068722C" w:rsidRPr="00981BEA" w:rsidRDefault="0068722C" w:rsidP="0068722C">
            <w:pPr>
              <w:jc w:val="both"/>
              <w:rPr>
                <w:rFonts w:ascii="Times New Roman" w:hAnsi="Times New Roman" w:cs="Times New Roman"/>
                <w:sz w:val="24"/>
              </w:rPr>
            </w:pPr>
            <w:r w:rsidRPr="00981BEA">
              <w:rPr>
                <w:rFonts w:ascii="Times New Roman" w:hAnsi="Times New Roman" w:cs="Times New Roman"/>
                <w:sz w:val="24"/>
              </w:rPr>
              <w:t>0.7619</w:t>
            </w:r>
          </w:p>
        </w:tc>
        <w:tc>
          <w:tcPr>
            <w:tcW w:w="3117" w:type="dxa"/>
          </w:tcPr>
          <w:p w:rsidR="0068722C" w:rsidRDefault="0068722C" w:rsidP="0068722C">
            <w:pPr>
              <w:jc w:val="both"/>
              <w:rPr>
                <w:rFonts w:ascii="Times New Roman" w:hAnsi="Times New Roman" w:cs="Times New Roman"/>
                <w:sz w:val="24"/>
              </w:rPr>
            </w:pPr>
            <w:r w:rsidRPr="00981BEA">
              <w:rPr>
                <w:rFonts w:ascii="Times New Roman" w:hAnsi="Times New Roman" w:cs="Times New Roman"/>
                <w:sz w:val="24"/>
              </w:rPr>
              <w:t>0.02744388</w:t>
            </w:r>
          </w:p>
        </w:tc>
      </w:tr>
      <w:tr w:rsidR="0068722C" w:rsidTr="00BA1B5B">
        <w:tc>
          <w:tcPr>
            <w:tcW w:w="3116" w:type="dxa"/>
          </w:tcPr>
          <w:p w:rsidR="0068722C" w:rsidRDefault="0068722C" w:rsidP="0068722C">
            <w:pPr>
              <w:jc w:val="both"/>
              <w:rPr>
                <w:rFonts w:ascii="Times New Roman" w:hAnsi="Times New Roman" w:cs="Times New Roman"/>
                <w:sz w:val="24"/>
              </w:rPr>
            </w:pPr>
            <w:r w:rsidRPr="00D13E33">
              <w:rPr>
                <w:rFonts w:ascii="Times New Roman" w:hAnsi="Times New Roman" w:cs="Times New Roman"/>
                <w:sz w:val="24"/>
              </w:rPr>
              <w:t>LRRN1</w:t>
            </w:r>
          </w:p>
        </w:tc>
        <w:tc>
          <w:tcPr>
            <w:tcW w:w="3117" w:type="dxa"/>
          </w:tcPr>
          <w:p w:rsidR="0068722C" w:rsidRDefault="0068722C" w:rsidP="0068722C">
            <w:pPr>
              <w:jc w:val="both"/>
              <w:rPr>
                <w:rFonts w:ascii="Times New Roman" w:hAnsi="Times New Roman" w:cs="Times New Roman"/>
                <w:sz w:val="24"/>
              </w:rPr>
            </w:pPr>
            <w:r w:rsidRPr="00981BEA">
              <w:rPr>
                <w:rFonts w:ascii="Times New Roman" w:hAnsi="Times New Roman" w:cs="Times New Roman"/>
                <w:sz w:val="24"/>
              </w:rPr>
              <w:t>-0.4783</w:t>
            </w:r>
          </w:p>
        </w:tc>
        <w:tc>
          <w:tcPr>
            <w:tcW w:w="3117" w:type="dxa"/>
          </w:tcPr>
          <w:p w:rsidR="0068722C" w:rsidRDefault="0068722C" w:rsidP="0068722C">
            <w:pPr>
              <w:jc w:val="both"/>
              <w:rPr>
                <w:rFonts w:ascii="Times New Roman" w:hAnsi="Times New Roman" w:cs="Times New Roman"/>
                <w:sz w:val="24"/>
              </w:rPr>
            </w:pPr>
            <w:r w:rsidRPr="00127215">
              <w:rPr>
                <w:rFonts w:ascii="Times New Roman" w:hAnsi="Times New Roman" w:cs="Times New Roman"/>
                <w:sz w:val="24"/>
              </w:rPr>
              <w:t>0.02744388</w:t>
            </w:r>
          </w:p>
        </w:tc>
      </w:tr>
      <w:tr w:rsidR="0068722C" w:rsidTr="00BA1B5B">
        <w:tc>
          <w:tcPr>
            <w:tcW w:w="3116" w:type="dxa"/>
          </w:tcPr>
          <w:p w:rsidR="0068722C" w:rsidRPr="00D13E33" w:rsidRDefault="0068722C" w:rsidP="0068722C">
            <w:pPr>
              <w:jc w:val="both"/>
              <w:rPr>
                <w:rFonts w:ascii="Times New Roman" w:hAnsi="Times New Roman" w:cs="Times New Roman"/>
                <w:sz w:val="24"/>
              </w:rPr>
            </w:pPr>
            <w:r w:rsidRPr="00D13E33">
              <w:rPr>
                <w:rFonts w:ascii="Times New Roman" w:hAnsi="Times New Roman" w:cs="Times New Roman"/>
                <w:sz w:val="24"/>
              </w:rPr>
              <w:t>PLA2G7</w:t>
            </w:r>
          </w:p>
        </w:tc>
        <w:tc>
          <w:tcPr>
            <w:tcW w:w="3117" w:type="dxa"/>
          </w:tcPr>
          <w:p w:rsidR="0068722C" w:rsidRDefault="0068722C" w:rsidP="0068722C">
            <w:pPr>
              <w:jc w:val="both"/>
              <w:rPr>
                <w:rFonts w:ascii="Times New Roman" w:hAnsi="Times New Roman" w:cs="Times New Roman"/>
                <w:sz w:val="24"/>
              </w:rPr>
            </w:pPr>
            <w:r>
              <w:rPr>
                <w:rFonts w:ascii="Times New Roman" w:hAnsi="Times New Roman" w:cs="Times New Roman"/>
                <w:sz w:val="24"/>
              </w:rPr>
              <w:t>1.227</w:t>
            </w:r>
          </w:p>
        </w:tc>
        <w:tc>
          <w:tcPr>
            <w:tcW w:w="3117" w:type="dxa"/>
          </w:tcPr>
          <w:p w:rsidR="0068722C" w:rsidRDefault="0068722C" w:rsidP="0068722C">
            <w:pPr>
              <w:jc w:val="both"/>
              <w:rPr>
                <w:rFonts w:ascii="Times New Roman" w:hAnsi="Times New Roman" w:cs="Times New Roman"/>
                <w:sz w:val="24"/>
              </w:rPr>
            </w:pPr>
            <w:r w:rsidRPr="00981BEA">
              <w:rPr>
                <w:rFonts w:ascii="Times New Roman" w:hAnsi="Times New Roman" w:cs="Times New Roman"/>
                <w:sz w:val="24"/>
              </w:rPr>
              <w:t>0.02744388</w:t>
            </w:r>
          </w:p>
        </w:tc>
      </w:tr>
      <w:tr w:rsidR="0068722C" w:rsidTr="00BA1B5B">
        <w:tc>
          <w:tcPr>
            <w:tcW w:w="3116" w:type="dxa"/>
          </w:tcPr>
          <w:p w:rsidR="0068722C" w:rsidRPr="00D13E33" w:rsidRDefault="0068722C" w:rsidP="0068722C">
            <w:pPr>
              <w:jc w:val="both"/>
              <w:rPr>
                <w:rFonts w:ascii="Times New Roman" w:hAnsi="Times New Roman" w:cs="Times New Roman"/>
                <w:sz w:val="24"/>
              </w:rPr>
            </w:pPr>
            <w:r w:rsidRPr="00D13E33">
              <w:rPr>
                <w:rFonts w:ascii="Times New Roman" w:hAnsi="Times New Roman" w:cs="Times New Roman"/>
                <w:sz w:val="24"/>
              </w:rPr>
              <w:t>AHNAK</w:t>
            </w:r>
          </w:p>
        </w:tc>
        <w:tc>
          <w:tcPr>
            <w:tcW w:w="3117" w:type="dxa"/>
          </w:tcPr>
          <w:p w:rsidR="0068722C" w:rsidRDefault="0068722C" w:rsidP="0068722C">
            <w:pPr>
              <w:jc w:val="both"/>
              <w:rPr>
                <w:rFonts w:ascii="Times New Roman" w:hAnsi="Times New Roman" w:cs="Times New Roman"/>
                <w:sz w:val="24"/>
              </w:rPr>
            </w:pPr>
            <w:r w:rsidRPr="00981BEA">
              <w:rPr>
                <w:rFonts w:ascii="Times New Roman" w:hAnsi="Times New Roman" w:cs="Times New Roman"/>
                <w:sz w:val="24"/>
              </w:rPr>
              <w:t>-0.5654</w:t>
            </w:r>
          </w:p>
        </w:tc>
        <w:tc>
          <w:tcPr>
            <w:tcW w:w="3117" w:type="dxa"/>
          </w:tcPr>
          <w:p w:rsidR="0068722C" w:rsidRDefault="0068722C" w:rsidP="0068722C">
            <w:pPr>
              <w:jc w:val="both"/>
              <w:rPr>
                <w:rFonts w:ascii="Times New Roman" w:hAnsi="Times New Roman" w:cs="Times New Roman"/>
                <w:sz w:val="24"/>
              </w:rPr>
            </w:pPr>
            <w:r w:rsidRPr="00981BEA">
              <w:rPr>
                <w:rFonts w:ascii="Times New Roman" w:hAnsi="Times New Roman" w:cs="Times New Roman"/>
                <w:sz w:val="24"/>
              </w:rPr>
              <w:t>0.02744388</w:t>
            </w:r>
          </w:p>
        </w:tc>
      </w:tr>
    </w:tbl>
    <w:p w:rsidR="00BA1B5B" w:rsidRDefault="00BA1B5B" w:rsidP="00BA1B5B">
      <w:pPr>
        <w:jc w:val="both"/>
        <w:rPr>
          <w:rFonts w:ascii="Times New Roman" w:hAnsi="Times New Roman" w:cs="Times New Roman"/>
          <w:sz w:val="24"/>
        </w:rPr>
      </w:pPr>
    </w:p>
    <w:p w:rsidR="00BA1B5B" w:rsidRDefault="00BA1B5B" w:rsidP="00BA1B5B">
      <w:pPr>
        <w:jc w:val="both"/>
        <w:rPr>
          <w:rFonts w:ascii="Times New Roman" w:hAnsi="Times New Roman" w:cs="Times New Roman"/>
          <w:sz w:val="24"/>
        </w:rPr>
      </w:pPr>
    </w:p>
    <w:p w:rsidR="0068722C" w:rsidRPr="0068722C" w:rsidRDefault="0068722C" w:rsidP="009E5D05">
      <w:pPr>
        <w:spacing w:after="0"/>
        <w:jc w:val="both"/>
        <w:rPr>
          <w:rFonts w:ascii="Times New Roman" w:hAnsi="Times New Roman" w:cs="Times New Roman"/>
          <w:b/>
          <w:sz w:val="24"/>
        </w:rPr>
      </w:pPr>
      <w:r w:rsidRPr="0068722C">
        <w:rPr>
          <w:rFonts w:ascii="Times New Roman" w:hAnsi="Times New Roman" w:cs="Times New Roman"/>
          <w:b/>
          <w:sz w:val="24"/>
        </w:rPr>
        <w:t>3.4 Volcano plot</w:t>
      </w:r>
    </w:p>
    <w:p w:rsidR="0068722C" w:rsidRDefault="0068722C" w:rsidP="0068722C">
      <w:pPr>
        <w:jc w:val="both"/>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58240" behindDoc="0" locked="0" layoutInCell="1" allowOverlap="1" wp14:anchorId="06C29BC5" wp14:editId="72DE99CC">
            <wp:simplePos x="0" y="0"/>
            <wp:positionH relativeFrom="column">
              <wp:posOffset>0</wp:posOffset>
            </wp:positionH>
            <wp:positionV relativeFrom="paragraph">
              <wp:posOffset>766776</wp:posOffset>
            </wp:positionV>
            <wp:extent cx="5943600" cy="476758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SE46750_volcano_plot.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767580"/>
                    </a:xfrm>
                    <a:prstGeom prst="rect">
                      <a:avLst/>
                    </a:prstGeom>
                  </pic:spPr>
                </pic:pic>
              </a:graphicData>
            </a:graphic>
          </wp:anchor>
        </w:drawing>
      </w:r>
      <w:r w:rsidRPr="0068722C">
        <w:rPr>
          <w:rFonts w:ascii="Times New Roman" w:hAnsi="Times New Roman" w:cs="Times New Roman"/>
          <w:sz w:val="24"/>
        </w:rPr>
        <w:t>Figure 1 shows the relationship between log2 fold change and adjusted p-value across the tested probes. Red points indicate significant positive changes, blue points indicate significant negative changes, and grey points indicate probes that did not meet the adjusted p-value threshold. The plot provides an overview of the distribution of differential-expression results.</w:t>
      </w:r>
    </w:p>
    <w:p w:rsidR="0068722C" w:rsidRDefault="0068722C" w:rsidP="0068722C">
      <w:pPr>
        <w:jc w:val="both"/>
        <w:rPr>
          <w:rFonts w:ascii="Times New Roman" w:hAnsi="Times New Roman" w:cs="Times New Roman"/>
          <w:sz w:val="24"/>
        </w:rPr>
      </w:pPr>
    </w:p>
    <w:p w:rsidR="0068722C" w:rsidRDefault="0068722C" w:rsidP="0068722C">
      <w:pPr>
        <w:jc w:val="both"/>
        <w:rPr>
          <w:rFonts w:ascii="Times New Roman" w:hAnsi="Times New Roman" w:cs="Times New Roman"/>
          <w:sz w:val="24"/>
        </w:rPr>
      </w:pPr>
    </w:p>
    <w:p w:rsidR="0068722C" w:rsidRPr="0068722C" w:rsidRDefault="0068722C" w:rsidP="0068722C">
      <w:pPr>
        <w:rPr>
          <w:rFonts w:ascii="Times New Roman" w:hAnsi="Times New Roman" w:cs="Times New Roman"/>
          <w:sz w:val="24"/>
        </w:rPr>
      </w:pPr>
    </w:p>
    <w:p w:rsidR="0068722C" w:rsidRPr="0068722C" w:rsidRDefault="0068722C" w:rsidP="0068722C">
      <w:pPr>
        <w:rPr>
          <w:rFonts w:ascii="Times New Roman" w:hAnsi="Times New Roman" w:cs="Times New Roman"/>
          <w:sz w:val="24"/>
        </w:rPr>
      </w:pPr>
    </w:p>
    <w:p w:rsidR="0068722C" w:rsidRPr="0068722C" w:rsidRDefault="0068722C" w:rsidP="0068722C">
      <w:pPr>
        <w:rPr>
          <w:rFonts w:ascii="Times New Roman" w:hAnsi="Times New Roman" w:cs="Times New Roman"/>
          <w:sz w:val="24"/>
        </w:rPr>
      </w:pPr>
    </w:p>
    <w:p w:rsidR="0068722C" w:rsidRPr="0068722C" w:rsidRDefault="0068722C" w:rsidP="0068722C">
      <w:pPr>
        <w:rPr>
          <w:rFonts w:ascii="Times New Roman" w:hAnsi="Times New Roman" w:cs="Times New Roman"/>
          <w:sz w:val="24"/>
        </w:rPr>
      </w:pPr>
    </w:p>
    <w:p w:rsidR="0068722C" w:rsidRPr="0068722C" w:rsidRDefault="0068722C" w:rsidP="0068722C">
      <w:pPr>
        <w:rPr>
          <w:rFonts w:ascii="Times New Roman" w:hAnsi="Times New Roman" w:cs="Times New Roman"/>
          <w:sz w:val="24"/>
        </w:rPr>
      </w:pPr>
    </w:p>
    <w:p w:rsidR="0068722C" w:rsidRPr="0068722C" w:rsidRDefault="0068722C" w:rsidP="0068722C">
      <w:pPr>
        <w:rPr>
          <w:rFonts w:ascii="Times New Roman" w:hAnsi="Times New Roman" w:cs="Times New Roman"/>
          <w:sz w:val="24"/>
        </w:rPr>
      </w:pPr>
    </w:p>
    <w:p w:rsidR="0068722C" w:rsidRPr="0068722C" w:rsidRDefault="0068722C" w:rsidP="0068722C">
      <w:pPr>
        <w:rPr>
          <w:rFonts w:ascii="Times New Roman" w:hAnsi="Times New Roman" w:cs="Times New Roman"/>
          <w:sz w:val="24"/>
        </w:rPr>
      </w:pPr>
    </w:p>
    <w:p w:rsidR="0068722C" w:rsidRPr="0068722C" w:rsidRDefault="0068722C" w:rsidP="0068722C">
      <w:pPr>
        <w:rPr>
          <w:rFonts w:ascii="Times New Roman" w:hAnsi="Times New Roman" w:cs="Times New Roman"/>
          <w:sz w:val="24"/>
        </w:rPr>
      </w:pPr>
    </w:p>
    <w:p w:rsidR="0068722C" w:rsidRPr="0068722C" w:rsidRDefault="0068722C" w:rsidP="0068722C">
      <w:pPr>
        <w:rPr>
          <w:rFonts w:ascii="Times New Roman" w:hAnsi="Times New Roman" w:cs="Times New Roman"/>
          <w:sz w:val="24"/>
        </w:rPr>
      </w:pPr>
    </w:p>
    <w:p w:rsidR="0068722C" w:rsidRPr="0068722C" w:rsidRDefault="0068722C" w:rsidP="0068722C">
      <w:pPr>
        <w:rPr>
          <w:rFonts w:ascii="Times New Roman" w:hAnsi="Times New Roman" w:cs="Times New Roman"/>
          <w:sz w:val="24"/>
        </w:rPr>
      </w:pPr>
    </w:p>
    <w:p w:rsidR="0068722C" w:rsidRPr="0068722C" w:rsidRDefault="0068722C" w:rsidP="0068722C">
      <w:pPr>
        <w:rPr>
          <w:rFonts w:ascii="Times New Roman" w:hAnsi="Times New Roman" w:cs="Times New Roman"/>
          <w:sz w:val="24"/>
        </w:rPr>
      </w:pPr>
    </w:p>
    <w:p w:rsidR="0068722C" w:rsidRPr="0068722C" w:rsidRDefault="0068722C" w:rsidP="0068722C">
      <w:pPr>
        <w:rPr>
          <w:rFonts w:ascii="Times New Roman" w:hAnsi="Times New Roman" w:cs="Times New Roman"/>
          <w:sz w:val="24"/>
        </w:rPr>
      </w:pPr>
    </w:p>
    <w:p w:rsidR="0068722C" w:rsidRPr="0068722C" w:rsidRDefault="0068722C" w:rsidP="0068722C">
      <w:pPr>
        <w:rPr>
          <w:rFonts w:ascii="Times New Roman" w:hAnsi="Times New Roman" w:cs="Times New Roman"/>
          <w:sz w:val="24"/>
        </w:rPr>
      </w:pPr>
    </w:p>
    <w:p w:rsidR="0068722C" w:rsidRDefault="0068722C" w:rsidP="0068722C">
      <w:pPr>
        <w:rPr>
          <w:rFonts w:ascii="Times New Roman" w:hAnsi="Times New Roman" w:cs="Times New Roman"/>
          <w:sz w:val="24"/>
        </w:rPr>
      </w:pPr>
    </w:p>
    <w:p w:rsidR="0068722C" w:rsidRDefault="0068722C" w:rsidP="0068722C">
      <w:pPr>
        <w:jc w:val="center"/>
        <w:rPr>
          <w:rFonts w:ascii="Times New Roman" w:hAnsi="Times New Roman" w:cs="Times New Roman"/>
          <w:sz w:val="24"/>
        </w:rPr>
      </w:pPr>
    </w:p>
    <w:p w:rsidR="0068722C" w:rsidRDefault="0068722C" w:rsidP="0068722C">
      <w:pPr>
        <w:jc w:val="center"/>
        <w:rPr>
          <w:rFonts w:ascii="Times New Roman" w:hAnsi="Times New Roman" w:cs="Times New Roman"/>
          <w:color w:val="000000"/>
          <w:sz w:val="24"/>
          <w:shd w:val="clear" w:color="auto" w:fill="FFFFFF"/>
        </w:rPr>
      </w:pPr>
      <w:r w:rsidRPr="0068722C">
        <w:rPr>
          <w:rFonts w:ascii="Times New Roman" w:hAnsi="Times New Roman" w:cs="Times New Roman"/>
          <w:color w:val="000000"/>
          <w:sz w:val="24"/>
          <w:shd w:val="clear" w:color="auto" w:fill="FFFFFF"/>
        </w:rPr>
        <w:t>Figure 1. Volcano plot of differential-expression results for GSE46750.</w:t>
      </w:r>
    </w:p>
    <w:p w:rsidR="009E5D05" w:rsidRDefault="009E5D05" w:rsidP="009E5D05">
      <w:pPr>
        <w:spacing w:after="0"/>
        <w:rPr>
          <w:rFonts w:ascii="Times New Roman" w:hAnsi="Times New Roman" w:cs="Times New Roman"/>
          <w:color w:val="000000"/>
          <w:sz w:val="24"/>
          <w:shd w:val="clear" w:color="auto" w:fill="FFFFFF"/>
        </w:rPr>
      </w:pPr>
    </w:p>
    <w:p w:rsidR="0068722C" w:rsidRPr="0068722C" w:rsidRDefault="0068722C" w:rsidP="009E5D05">
      <w:pPr>
        <w:spacing w:after="0"/>
        <w:rPr>
          <w:rFonts w:ascii="Times New Roman" w:hAnsi="Times New Roman" w:cs="Times New Roman"/>
          <w:b/>
          <w:sz w:val="28"/>
        </w:rPr>
      </w:pPr>
      <w:r w:rsidRPr="0068722C">
        <w:rPr>
          <w:rFonts w:ascii="Times New Roman" w:hAnsi="Times New Roman" w:cs="Times New Roman"/>
          <w:b/>
          <w:sz w:val="28"/>
        </w:rPr>
        <w:lastRenderedPageBreak/>
        <w:t xml:space="preserve">3.5 </w:t>
      </w:r>
      <w:proofErr w:type="spellStart"/>
      <w:r w:rsidRPr="0068722C">
        <w:rPr>
          <w:rFonts w:ascii="Times New Roman" w:hAnsi="Times New Roman" w:cs="Times New Roman"/>
          <w:b/>
          <w:sz w:val="28"/>
        </w:rPr>
        <w:t>Heatmap</w:t>
      </w:r>
      <w:proofErr w:type="spellEnd"/>
      <w:r w:rsidRPr="0068722C">
        <w:rPr>
          <w:rFonts w:ascii="Times New Roman" w:hAnsi="Times New Roman" w:cs="Times New Roman"/>
          <w:b/>
          <w:sz w:val="28"/>
        </w:rPr>
        <w:t xml:space="preserve"> of the top 20 probes</w:t>
      </w:r>
    </w:p>
    <w:p w:rsidR="0068722C" w:rsidRDefault="0068722C" w:rsidP="0068722C">
      <w:pPr>
        <w:jc w:val="both"/>
        <w:rPr>
          <w:rFonts w:ascii="Times New Roman" w:hAnsi="Times New Roman" w:cs="Times New Roman"/>
          <w:sz w:val="24"/>
        </w:rPr>
      </w:pPr>
      <w:r w:rsidRPr="0068722C">
        <w:rPr>
          <w:rFonts w:ascii="Times New Roman" w:hAnsi="Times New Roman" w:cs="Times New Roman"/>
          <w:sz w:val="24"/>
        </w:rPr>
        <w:t xml:space="preserve">Figure 2 displays standardized expression patterns for the 20 most statistically significant probes across the 24 samples. The colors represent relative expression for each probe after row-wise standardization, rather than absolute expression abundance. Hierarchical clustering organizes samples and probes by similarity. The displayed </w:t>
      </w:r>
      <w:proofErr w:type="spellStart"/>
      <w:r w:rsidRPr="0068722C">
        <w:rPr>
          <w:rFonts w:ascii="Times New Roman" w:hAnsi="Times New Roman" w:cs="Times New Roman"/>
          <w:sz w:val="24"/>
        </w:rPr>
        <w:t>heatmap</w:t>
      </w:r>
      <w:proofErr w:type="spellEnd"/>
      <w:r w:rsidRPr="0068722C">
        <w:rPr>
          <w:rFonts w:ascii="Times New Roman" w:hAnsi="Times New Roman" w:cs="Times New Roman"/>
          <w:sz w:val="24"/>
        </w:rPr>
        <w:t xml:space="preserve"> does not explicitly annotate the sample groups, so clustering should not be treated as a formal test of group separation.</w:t>
      </w:r>
    </w:p>
    <w:p w:rsidR="0068722C" w:rsidRDefault="0068722C" w:rsidP="0068722C">
      <w:pPr>
        <w:jc w:val="both"/>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59264" behindDoc="0" locked="0" layoutInCell="1" allowOverlap="1">
            <wp:simplePos x="0" y="0"/>
            <wp:positionH relativeFrom="column">
              <wp:posOffset>0</wp:posOffset>
            </wp:positionH>
            <wp:positionV relativeFrom="paragraph">
              <wp:posOffset>82881</wp:posOffset>
            </wp:positionV>
            <wp:extent cx="5943600" cy="4754880"/>
            <wp:effectExtent l="0" t="0" r="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SE46750_top20_heatmap.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anchor>
        </w:drawing>
      </w:r>
    </w:p>
    <w:p w:rsidR="0068722C" w:rsidRPr="0068722C" w:rsidRDefault="0068722C" w:rsidP="0068722C">
      <w:pPr>
        <w:rPr>
          <w:rFonts w:ascii="Times New Roman" w:hAnsi="Times New Roman" w:cs="Times New Roman"/>
          <w:sz w:val="24"/>
        </w:rPr>
      </w:pPr>
    </w:p>
    <w:p w:rsidR="0068722C" w:rsidRPr="0068722C" w:rsidRDefault="0068722C" w:rsidP="0068722C">
      <w:pPr>
        <w:rPr>
          <w:rFonts w:ascii="Times New Roman" w:hAnsi="Times New Roman" w:cs="Times New Roman"/>
          <w:sz w:val="24"/>
        </w:rPr>
      </w:pPr>
    </w:p>
    <w:p w:rsidR="0068722C" w:rsidRPr="0068722C" w:rsidRDefault="0068722C" w:rsidP="0068722C">
      <w:pPr>
        <w:rPr>
          <w:rFonts w:ascii="Times New Roman" w:hAnsi="Times New Roman" w:cs="Times New Roman"/>
          <w:sz w:val="24"/>
        </w:rPr>
      </w:pPr>
    </w:p>
    <w:p w:rsidR="0068722C" w:rsidRPr="0068722C" w:rsidRDefault="0068722C" w:rsidP="0068722C">
      <w:pPr>
        <w:rPr>
          <w:rFonts w:ascii="Times New Roman" w:hAnsi="Times New Roman" w:cs="Times New Roman"/>
          <w:sz w:val="24"/>
        </w:rPr>
      </w:pPr>
    </w:p>
    <w:p w:rsidR="0068722C" w:rsidRPr="0068722C" w:rsidRDefault="0068722C" w:rsidP="0068722C">
      <w:pPr>
        <w:rPr>
          <w:rFonts w:ascii="Times New Roman" w:hAnsi="Times New Roman" w:cs="Times New Roman"/>
          <w:sz w:val="24"/>
        </w:rPr>
      </w:pPr>
    </w:p>
    <w:p w:rsidR="0068722C" w:rsidRPr="0068722C" w:rsidRDefault="0068722C" w:rsidP="0068722C">
      <w:pPr>
        <w:rPr>
          <w:rFonts w:ascii="Times New Roman" w:hAnsi="Times New Roman" w:cs="Times New Roman"/>
          <w:sz w:val="24"/>
        </w:rPr>
      </w:pPr>
    </w:p>
    <w:p w:rsidR="0068722C" w:rsidRPr="0068722C" w:rsidRDefault="0068722C" w:rsidP="0068722C">
      <w:pPr>
        <w:rPr>
          <w:rFonts w:ascii="Times New Roman" w:hAnsi="Times New Roman" w:cs="Times New Roman"/>
          <w:sz w:val="24"/>
        </w:rPr>
      </w:pPr>
    </w:p>
    <w:p w:rsidR="0068722C" w:rsidRPr="0068722C" w:rsidRDefault="0068722C" w:rsidP="0068722C">
      <w:pPr>
        <w:rPr>
          <w:rFonts w:ascii="Times New Roman" w:hAnsi="Times New Roman" w:cs="Times New Roman"/>
          <w:sz w:val="24"/>
        </w:rPr>
      </w:pPr>
    </w:p>
    <w:p w:rsidR="0068722C" w:rsidRPr="0068722C" w:rsidRDefault="0068722C" w:rsidP="0068722C">
      <w:pPr>
        <w:rPr>
          <w:rFonts w:ascii="Times New Roman" w:hAnsi="Times New Roman" w:cs="Times New Roman"/>
          <w:sz w:val="24"/>
        </w:rPr>
      </w:pPr>
    </w:p>
    <w:p w:rsidR="0068722C" w:rsidRPr="0068722C" w:rsidRDefault="0068722C" w:rsidP="0068722C">
      <w:pPr>
        <w:rPr>
          <w:rFonts w:ascii="Times New Roman" w:hAnsi="Times New Roman" w:cs="Times New Roman"/>
          <w:sz w:val="24"/>
        </w:rPr>
      </w:pPr>
    </w:p>
    <w:p w:rsidR="0068722C" w:rsidRPr="0068722C" w:rsidRDefault="0068722C" w:rsidP="0068722C">
      <w:pPr>
        <w:rPr>
          <w:rFonts w:ascii="Times New Roman" w:hAnsi="Times New Roman" w:cs="Times New Roman"/>
          <w:sz w:val="24"/>
        </w:rPr>
      </w:pPr>
    </w:p>
    <w:p w:rsidR="0068722C" w:rsidRPr="0068722C" w:rsidRDefault="0068722C" w:rsidP="0068722C">
      <w:pPr>
        <w:rPr>
          <w:rFonts w:ascii="Times New Roman" w:hAnsi="Times New Roman" w:cs="Times New Roman"/>
          <w:sz w:val="24"/>
        </w:rPr>
      </w:pPr>
    </w:p>
    <w:p w:rsidR="0068722C" w:rsidRPr="0068722C" w:rsidRDefault="0068722C" w:rsidP="0068722C">
      <w:pPr>
        <w:rPr>
          <w:rFonts w:ascii="Times New Roman" w:hAnsi="Times New Roman" w:cs="Times New Roman"/>
          <w:sz w:val="24"/>
        </w:rPr>
      </w:pPr>
    </w:p>
    <w:p w:rsidR="0068722C" w:rsidRPr="0068722C" w:rsidRDefault="0068722C" w:rsidP="0068722C">
      <w:pPr>
        <w:rPr>
          <w:rFonts w:ascii="Times New Roman" w:hAnsi="Times New Roman" w:cs="Times New Roman"/>
          <w:sz w:val="24"/>
        </w:rPr>
      </w:pPr>
    </w:p>
    <w:p w:rsidR="0068722C" w:rsidRPr="0068722C" w:rsidRDefault="0068722C" w:rsidP="0068722C">
      <w:pPr>
        <w:rPr>
          <w:rFonts w:ascii="Times New Roman" w:hAnsi="Times New Roman" w:cs="Times New Roman"/>
          <w:sz w:val="24"/>
        </w:rPr>
      </w:pPr>
    </w:p>
    <w:p w:rsidR="0068722C" w:rsidRPr="0068722C" w:rsidRDefault="0068722C" w:rsidP="0068722C">
      <w:pPr>
        <w:rPr>
          <w:rFonts w:ascii="Times New Roman" w:hAnsi="Times New Roman" w:cs="Times New Roman"/>
          <w:sz w:val="24"/>
        </w:rPr>
      </w:pPr>
    </w:p>
    <w:p w:rsidR="0068722C" w:rsidRPr="0068722C" w:rsidRDefault="0068722C" w:rsidP="0068722C">
      <w:pPr>
        <w:rPr>
          <w:rFonts w:ascii="Times New Roman" w:hAnsi="Times New Roman" w:cs="Times New Roman"/>
          <w:sz w:val="24"/>
        </w:rPr>
      </w:pPr>
    </w:p>
    <w:p w:rsidR="0068722C" w:rsidRDefault="0068722C" w:rsidP="0068722C">
      <w:pPr>
        <w:jc w:val="center"/>
        <w:rPr>
          <w:rFonts w:ascii="Times New Roman" w:hAnsi="Times New Roman" w:cs="Times New Roman"/>
          <w:color w:val="000000"/>
          <w:sz w:val="24"/>
          <w:shd w:val="clear" w:color="auto" w:fill="FFFFFF"/>
        </w:rPr>
      </w:pPr>
      <w:r w:rsidRPr="0068722C">
        <w:rPr>
          <w:rFonts w:ascii="Times New Roman" w:hAnsi="Times New Roman" w:cs="Times New Roman"/>
          <w:color w:val="000000"/>
          <w:sz w:val="24"/>
          <w:shd w:val="clear" w:color="auto" w:fill="FFFFFF"/>
        </w:rPr>
        <w:t xml:space="preserve">Figure 2. </w:t>
      </w:r>
      <w:proofErr w:type="spellStart"/>
      <w:r w:rsidRPr="0068722C">
        <w:rPr>
          <w:rFonts w:ascii="Times New Roman" w:hAnsi="Times New Roman" w:cs="Times New Roman"/>
          <w:color w:val="000000"/>
          <w:sz w:val="24"/>
          <w:shd w:val="clear" w:color="auto" w:fill="FFFFFF"/>
        </w:rPr>
        <w:t>Heatmap</w:t>
      </w:r>
      <w:proofErr w:type="spellEnd"/>
      <w:r w:rsidRPr="0068722C">
        <w:rPr>
          <w:rFonts w:ascii="Times New Roman" w:hAnsi="Times New Roman" w:cs="Times New Roman"/>
          <w:color w:val="000000"/>
          <w:sz w:val="24"/>
          <w:shd w:val="clear" w:color="auto" w:fill="FFFFFF"/>
        </w:rPr>
        <w:t xml:space="preserve"> of standardized expression for the top 20 significant probes.</w:t>
      </w:r>
    </w:p>
    <w:p w:rsidR="0068722C" w:rsidRDefault="0068722C" w:rsidP="0068722C">
      <w:pPr>
        <w:jc w:val="center"/>
        <w:rPr>
          <w:rFonts w:ascii="Times New Roman" w:hAnsi="Times New Roman" w:cs="Times New Roman"/>
          <w:color w:val="000000"/>
          <w:sz w:val="24"/>
          <w:shd w:val="clear" w:color="auto" w:fill="FFFFFF"/>
        </w:rPr>
      </w:pPr>
    </w:p>
    <w:p w:rsidR="0068722C" w:rsidRPr="0068722C" w:rsidRDefault="0068722C" w:rsidP="0068722C">
      <w:pPr>
        <w:rPr>
          <w:rFonts w:ascii="Times New Roman" w:hAnsi="Times New Roman" w:cs="Times New Roman"/>
          <w:b/>
          <w:sz w:val="28"/>
        </w:rPr>
      </w:pPr>
      <w:r w:rsidRPr="0068722C">
        <w:rPr>
          <w:rFonts w:ascii="Times New Roman" w:hAnsi="Times New Roman" w:cs="Times New Roman"/>
          <w:b/>
          <w:sz w:val="28"/>
        </w:rPr>
        <w:t>4. Discussion</w:t>
      </w:r>
    </w:p>
    <w:p w:rsidR="0068722C" w:rsidRDefault="0068722C" w:rsidP="0068722C">
      <w:pPr>
        <w:jc w:val="both"/>
        <w:rPr>
          <w:rFonts w:ascii="Times New Roman" w:hAnsi="Times New Roman" w:cs="Times New Roman"/>
          <w:sz w:val="24"/>
        </w:rPr>
      </w:pPr>
      <w:r w:rsidRPr="0068722C">
        <w:rPr>
          <w:rFonts w:ascii="Times New Roman" w:hAnsi="Times New Roman" w:cs="Times New Roman"/>
          <w:sz w:val="24"/>
        </w:rPr>
        <w:t xml:space="preserve">This reanalysis identified 152 significant probes distinguishing inflammatory from normal/reactive synovial regions within OA patients. The positive and negative log2 fold changes indicate that expression changes occurred in both directions, suggesting that inflammatory regions </w:t>
      </w:r>
      <w:r w:rsidRPr="0068722C">
        <w:rPr>
          <w:rFonts w:ascii="Times New Roman" w:hAnsi="Times New Roman" w:cs="Times New Roman"/>
          <w:sz w:val="24"/>
        </w:rPr>
        <w:lastRenderedPageBreak/>
        <w:t>are characterized by a mixture of increased and decreased transcript abundance rather than a uniform increase across all genes.</w:t>
      </w:r>
    </w:p>
    <w:p w:rsidR="0068722C" w:rsidRPr="0068722C" w:rsidRDefault="0068722C" w:rsidP="0068722C">
      <w:pPr>
        <w:jc w:val="both"/>
        <w:rPr>
          <w:rFonts w:ascii="Times New Roman" w:hAnsi="Times New Roman" w:cs="Times New Roman"/>
          <w:sz w:val="24"/>
        </w:rPr>
      </w:pPr>
      <w:r w:rsidRPr="0068722C">
        <w:rPr>
          <w:rFonts w:ascii="Times New Roman" w:hAnsi="Times New Roman" w:cs="Times New Roman"/>
          <w:sz w:val="24"/>
        </w:rPr>
        <w:t>Among the leading results, CCL2 is a chemokine commonly associated with immune-cell recruitment, while CD48 and IRF8 are associated with immune-cell biology. PLA2G7 is involved in lipid-related biology. MATN2 is related to extracellular-matrix biology. These annotations provide possible context for follow-up, but they do not establish that the genes or pathways are causal in the tissue comparison. Bulk-tissue expression can also be influenced by changes in cell composition as well as changes in transcription within individual cell types.</w:t>
      </w:r>
    </w:p>
    <w:p w:rsidR="0068722C" w:rsidRPr="0068722C" w:rsidRDefault="0068722C" w:rsidP="0068722C">
      <w:pPr>
        <w:jc w:val="both"/>
        <w:rPr>
          <w:rFonts w:ascii="Times New Roman" w:hAnsi="Times New Roman" w:cs="Times New Roman"/>
          <w:sz w:val="24"/>
        </w:rPr>
      </w:pPr>
    </w:p>
    <w:p w:rsidR="0068722C" w:rsidRDefault="0068722C" w:rsidP="0068722C">
      <w:pPr>
        <w:jc w:val="both"/>
        <w:rPr>
          <w:rFonts w:ascii="Times New Roman" w:hAnsi="Times New Roman" w:cs="Times New Roman"/>
          <w:sz w:val="24"/>
        </w:rPr>
      </w:pPr>
      <w:r w:rsidRPr="0068722C">
        <w:rPr>
          <w:rFonts w:ascii="Times New Roman" w:hAnsi="Times New Roman" w:cs="Times New Roman"/>
          <w:sz w:val="24"/>
        </w:rPr>
        <w:t xml:space="preserve">The paired design is a strength because each patient's inflammatory region is compared with that same patient's normal/reactive region, helping account for patient-level variation. Reuse of a public dataset also makes the project cost-effective and supports transparent computational research. The volcano plot provides a compact summary of significance and effect direction, while the </w:t>
      </w:r>
      <w:proofErr w:type="spellStart"/>
      <w:r w:rsidRPr="0068722C">
        <w:rPr>
          <w:rFonts w:ascii="Times New Roman" w:hAnsi="Times New Roman" w:cs="Times New Roman"/>
          <w:sz w:val="24"/>
        </w:rPr>
        <w:t>heatmap</w:t>
      </w:r>
      <w:proofErr w:type="spellEnd"/>
      <w:r w:rsidRPr="0068722C">
        <w:rPr>
          <w:rFonts w:ascii="Times New Roman" w:hAnsi="Times New Roman" w:cs="Times New Roman"/>
          <w:sz w:val="24"/>
        </w:rPr>
        <w:t xml:space="preserve"> illustrates variation among selected probes.</w:t>
      </w:r>
    </w:p>
    <w:p w:rsidR="0068722C" w:rsidRDefault="0068722C" w:rsidP="0068722C">
      <w:pPr>
        <w:jc w:val="both"/>
        <w:rPr>
          <w:rFonts w:ascii="Cambria" w:hAnsi="Cambria"/>
          <w:color w:val="000000"/>
          <w:shd w:val="clear" w:color="auto" w:fill="FFFFFF"/>
        </w:rPr>
      </w:pPr>
      <w:r>
        <w:rPr>
          <w:rFonts w:ascii="Cambria" w:hAnsi="Cambria"/>
          <w:color w:val="000000"/>
          <w:shd w:val="clear" w:color="auto" w:fill="FFFFFF"/>
        </w:rPr>
        <w:t>The findings should be interpreted as regional associations within OA synovium. The study does not include a healthy-control comparison in this analysis, and therefore cannot establish which expression differences are specific to OA compared with healthy tissue. Further pathway-level interpretation should be based on the actual GO enrichment outputs, including the background gene universe and multiple-testing method, and should be checked for overrepresentation and annotation biases.</w:t>
      </w:r>
    </w:p>
    <w:p w:rsidR="0068722C" w:rsidRDefault="0068722C" w:rsidP="0068722C">
      <w:pPr>
        <w:jc w:val="both"/>
        <w:rPr>
          <w:rFonts w:ascii="Cambria" w:hAnsi="Cambria"/>
          <w:color w:val="000000"/>
          <w:shd w:val="clear" w:color="auto" w:fill="FFFFFF"/>
        </w:rPr>
      </w:pPr>
    </w:p>
    <w:p w:rsidR="0068722C" w:rsidRPr="0068722C" w:rsidRDefault="0068722C" w:rsidP="0068722C">
      <w:pPr>
        <w:jc w:val="both"/>
        <w:rPr>
          <w:rFonts w:ascii="Times New Roman" w:hAnsi="Times New Roman" w:cs="Times New Roman"/>
          <w:b/>
          <w:sz w:val="24"/>
        </w:rPr>
      </w:pPr>
      <w:r w:rsidRPr="0068722C">
        <w:rPr>
          <w:rFonts w:ascii="Times New Roman" w:hAnsi="Times New Roman" w:cs="Times New Roman"/>
          <w:b/>
          <w:sz w:val="24"/>
        </w:rPr>
        <w:t>5. Limitations</w:t>
      </w:r>
    </w:p>
    <w:p w:rsidR="0068722C" w:rsidRPr="0068722C" w:rsidRDefault="0068722C" w:rsidP="0068722C">
      <w:pPr>
        <w:jc w:val="both"/>
        <w:rPr>
          <w:rFonts w:ascii="Times New Roman" w:hAnsi="Times New Roman" w:cs="Times New Roman"/>
          <w:sz w:val="24"/>
        </w:rPr>
      </w:pPr>
    </w:p>
    <w:p w:rsidR="0068722C" w:rsidRPr="0068722C" w:rsidRDefault="0068722C" w:rsidP="0068722C">
      <w:pPr>
        <w:pStyle w:val="ListParagraph"/>
        <w:numPr>
          <w:ilvl w:val="0"/>
          <w:numId w:val="2"/>
        </w:numPr>
        <w:spacing w:after="0"/>
        <w:jc w:val="both"/>
        <w:rPr>
          <w:rFonts w:ascii="Times New Roman" w:hAnsi="Times New Roman" w:cs="Times New Roman"/>
          <w:sz w:val="24"/>
        </w:rPr>
      </w:pPr>
      <w:r w:rsidRPr="0068722C">
        <w:rPr>
          <w:rFonts w:ascii="Times New Roman" w:hAnsi="Times New Roman" w:cs="Times New Roman"/>
          <w:sz w:val="24"/>
        </w:rPr>
        <w:t>The analysis uses a limited cohort of 12 patients, which may constrain statistical power and generalizability.</w:t>
      </w:r>
    </w:p>
    <w:p w:rsidR="0068722C" w:rsidRPr="0068722C" w:rsidRDefault="0068722C" w:rsidP="0068722C">
      <w:pPr>
        <w:spacing w:after="0"/>
        <w:jc w:val="both"/>
        <w:rPr>
          <w:rFonts w:ascii="Times New Roman" w:hAnsi="Times New Roman" w:cs="Times New Roman"/>
          <w:sz w:val="24"/>
        </w:rPr>
      </w:pPr>
    </w:p>
    <w:p w:rsidR="0068722C" w:rsidRPr="0068722C" w:rsidRDefault="0068722C" w:rsidP="0068722C">
      <w:pPr>
        <w:pStyle w:val="ListParagraph"/>
        <w:numPr>
          <w:ilvl w:val="0"/>
          <w:numId w:val="2"/>
        </w:numPr>
        <w:spacing w:after="0"/>
        <w:jc w:val="both"/>
        <w:rPr>
          <w:rFonts w:ascii="Times New Roman" w:hAnsi="Times New Roman" w:cs="Times New Roman"/>
          <w:sz w:val="24"/>
        </w:rPr>
      </w:pPr>
      <w:r w:rsidRPr="0068722C">
        <w:rPr>
          <w:rFonts w:ascii="Times New Roman" w:hAnsi="Times New Roman" w:cs="Times New Roman"/>
          <w:sz w:val="24"/>
        </w:rPr>
        <w:t>The comparison is between inflammatory and normal/reactive regions from OA patients, not OA tissue versus healthy control tissue.</w:t>
      </w:r>
    </w:p>
    <w:p w:rsidR="0068722C" w:rsidRPr="0068722C" w:rsidRDefault="0068722C" w:rsidP="0068722C">
      <w:pPr>
        <w:spacing w:after="0"/>
        <w:jc w:val="both"/>
        <w:rPr>
          <w:rFonts w:ascii="Times New Roman" w:hAnsi="Times New Roman" w:cs="Times New Roman"/>
          <w:sz w:val="24"/>
        </w:rPr>
      </w:pPr>
    </w:p>
    <w:p w:rsidR="0068722C" w:rsidRPr="0068722C" w:rsidRDefault="0068722C" w:rsidP="0068722C">
      <w:pPr>
        <w:pStyle w:val="ListParagraph"/>
        <w:numPr>
          <w:ilvl w:val="0"/>
          <w:numId w:val="2"/>
        </w:numPr>
        <w:spacing w:after="0"/>
        <w:jc w:val="both"/>
        <w:rPr>
          <w:rFonts w:ascii="Times New Roman" w:hAnsi="Times New Roman" w:cs="Times New Roman"/>
          <w:sz w:val="24"/>
        </w:rPr>
      </w:pPr>
      <w:r w:rsidRPr="0068722C">
        <w:rPr>
          <w:rFonts w:ascii="Times New Roman" w:hAnsi="Times New Roman" w:cs="Times New Roman"/>
          <w:sz w:val="24"/>
        </w:rPr>
        <w:t>Microarray probe measurements and gene annotation can be affected by probe specificity, outdated annotations, and multiple probes mapping to one gene.</w:t>
      </w:r>
    </w:p>
    <w:p w:rsidR="0068722C" w:rsidRPr="0068722C" w:rsidRDefault="0068722C" w:rsidP="0068722C">
      <w:pPr>
        <w:spacing w:after="0"/>
        <w:jc w:val="both"/>
        <w:rPr>
          <w:rFonts w:ascii="Times New Roman" w:hAnsi="Times New Roman" w:cs="Times New Roman"/>
          <w:sz w:val="24"/>
        </w:rPr>
      </w:pPr>
    </w:p>
    <w:p w:rsidR="0068722C" w:rsidRPr="0068722C" w:rsidRDefault="0068722C" w:rsidP="0068722C">
      <w:pPr>
        <w:pStyle w:val="ListParagraph"/>
        <w:numPr>
          <w:ilvl w:val="0"/>
          <w:numId w:val="2"/>
        </w:numPr>
        <w:spacing w:after="0"/>
        <w:jc w:val="both"/>
        <w:rPr>
          <w:rFonts w:ascii="Times New Roman" w:hAnsi="Times New Roman" w:cs="Times New Roman"/>
          <w:sz w:val="24"/>
        </w:rPr>
      </w:pPr>
      <w:r w:rsidRPr="0068722C">
        <w:rPr>
          <w:rFonts w:ascii="Times New Roman" w:hAnsi="Times New Roman" w:cs="Times New Roman"/>
          <w:sz w:val="24"/>
        </w:rPr>
        <w:t>Differential expression indicates statistical association and does not establish causality or protein-level changes.</w:t>
      </w:r>
    </w:p>
    <w:p w:rsidR="0068722C" w:rsidRPr="0068722C" w:rsidRDefault="0068722C" w:rsidP="0068722C">
      <w:pPr>
        <w:spacing w:after="0"/>
        <w:jc w:val="both"/>
        <w:rPr>
          <w:rFonts w:ascii="Times New Roman" w:hAnsi="Times New Roman" w:cs="Times New Roman"/>
          <w:sz w:val="24"/>
        </w:rPr>
      </w:pPr>
    </w:p>
    <w:p w:rsidR="0068722C" w:rsidRPr="0068722C" w:rsidRDefault="0068722C" w:rsidP="0068722C">
      <w:pPr>
        <w:pStyle w:val="ListParagraph"/>
        <w:numPr>
          <w:ilvl w:val="0"/>
          <w:numId w:val="2"/>
        </w:numPr>
        <w:spacing w:after="0"/>
        <w:jc w:val="both"/>
        <w:rPr>
          <w:rFonts w:ascii="Times New Roman" w:hAnsi="Times New Roman" w:cs="Times New Roman"/>
          <w:sz w:val="24"/>
        </w:rPr>
      </w:pPr>
      <w:r w:rsidRPr="0068722C">
        <w:rPr>
          <w:rFonts w:ascii="Times New Roman" w:hAnsi="Times New Roman" w:cs="Times New Roman"/>
          <w:sz w:val="24"/>
        </w:rPr>
        <w:t>Bulk-tissue expression differences may reflect changes in cellular composition as well as changes in gene expression within cells.</w:t>
      </w:r>
    </w:p>
    <w:p w:rsidR="0068722C" w:rsidRPr="0068722C" w:rsidRDefault="0068722C" w:rsidP="0068722C">
      <w:pPr>
        <w:spacing w:after="0"/>
        <w:jc w:val="both"/>
        <w:rPr>
          <w:rFonts w:ascii="Times New Roman" w:hAnsi="Times New Roman" w:cs="Times New Roman"/>
          <w:sz w:val="24"/>
        </w:rPr>
      </w:pPr>
    </w:p>
    <w:p w:rsidR="0068722C" w:rsidRPr="0068722C" w:rsidRDefault="0068722C" w:rsidP="0068722C">
      <w:pPr>
        <w:pStyle w:val="ListParagraph"/>
        <w:numPr>
          <w:ilvl w:val="0"/>
          <w:numId w:val="2"/>
        </w:numPr>
        <w:spacing w:after="0"/>
        <w:jc w:val="both"/>
        <w:rPr>
          <w:rFonts w:ascii="Times New Roman" w:hAnsi="Times New Roman" w:cs="Times New Roman"/>
          <w:sz w:val="24"/>
        </w:rPr>
      </w:pPr>
      <w:r w:rsidRPr="0068722C">
        <w:rPr>
          <w:rFonts w:ascii="Times New Roman" w:hAnsi="Times New Roman" w:cs="Times New Roman"/>
          <w:sz w:val="24"/>
        </w:rPr>
        <w:lastRenderedPageBreak/>
        <w:t xml:space="preserve">The </w:t>
      </w:r>
      <w:proofErr w:type="spellStart"/>
      <w:r w:rsidRPr="0068722C">
        <w:rPr>
          <w:rFonts w:ascii="Times New Roman" w:hAnsi="Times New Roman" w:cs="Times New Roman"/>
          <w:sz w:val="24"/>
        </w:rPr>
        <w:t>heatmap</w:t>
      </w:r>
      <w:proofErr w:type="spellEnd"/>
      <w:r w:rsidRPr="0068722C">
        <w:rPr>
          <w:rFonts w:ascii="Times New Roman" w:hAnsi="Times New Roman" w:cs="Times New Roman"/>
          <w:sz w:val="24"/>
        </w:rPr>
        <w:t xml:space="preserve"> lacks explicit sample-group annotations, so it should be interpreted as an exploratory visualization.</w:t>
      </w:r>
    </w:p>
    <w:p w:rsidR="0068722C" w:rsidRPr="0068722C" w:rsidRDefault="0068722C" w:rsidP="0068722C">
      <w:pPr>
        <w:spacing w:after="0"/>
        <w:jc w:val="both"/>
        <w:rPr>
          <w:rFonts w:ascii="Times New Roman" w:hAnsi="Times New Roman" w:cs="Times New Roman"/>
          <w:sz w:val="24"/>
        </w:rPr>
      </w:pPr>
    </w:p>
    <w:p w:rsidR="0068722C" w:rsidRPr="0068722C" w:rsidRDefault="0068722C" w:rsidP="0068722C">
      <w:pPr>
        <w:pStyle w:val="ListParagraph"/>
        <w:numPr>
          <w:ilvl w:val="0"/>
          <w:numId w:val="2"/>
        </w:numPr>
        <w:spacing w:after="0"/>
        <w:jc w:val="both"/>
        <w:rPr>
          <w:rFonts w:ascii="Times New Roman" w:hAnsi="Times New Roman" w:cs="Times New Roman"/>
          <w:sz w:val="24"/>
        </w:rPr>
      </w:pPr>
      <w:r w:rsidRPr="0068722C">
        <w:rPr>
          <w:rFonts w:ascii="Times New Roman" w:hAnsi="Times New Roman" w:cs="Times New Roman"/>
          <w:sz w:val="24"/>
        </w:rPr>
        <w:t>The complete analysis script, software versions, and dataset preprocessing details should be included before claiming full computational reproducibility.</w:t>
      </w:r>
    </w:p>
    <w:p w:rsidR="0068722C" w:rsidRPr="0068722C" w:rsidRDefault="0068722C" w:rsidP="0068722C">
      <w:pPr>
        <w:spacing w:after="0"/>
        <w:jc w:val="both"/>
        <w:rPr>
          <w:rFonts w:ascii="Times New Roman" w:hAnsi="Times New Roman" w:cs="Times New Roman"/>
          <w:sz w:val="24"/>
        </w:rPr>
      </w:pPr>
    </w:p>
    <w:p w:rsidR="0068722C" w:rsidRPr="0068722C" w:rsidRDefault="0068722C" w:rsidP="0068722C">
      <w:pPr>
        <w:pStyle w:val="ListParagraph"/>
        <w:numPr>
          <w:ilvl w:val="0"/>
          <w:numId w:val="2"/>
        </w:numPr>
        <w:spacing w:after="0"/>
        <w:jc w:val="both"/>
        <w:rPr>
          <w:rFonts w:ascii="Times New Roman" w:hAnsi="Times New Roman" w:cs="Times New Roman"/>
          <w:sz w:val="24"/>
        </w:rPr>
      </w:pPr>
      <w:r w:rsidRPr="0068722C">
        <w:rPr>
          <w:rFonts w:ascii="Times New Roman" w:hAnsi="Times New Roman" w:cs="Times New Roman"/>
          <w:sz w:val="24"/>
        </w:rPr>
        <w:t>The original dataset's normalization and preprocessing must be described from the GEO record or original publication, not inferred solely from the log2 transformation.</w:t>
      </w:r>
    </w:p>
    <w:p w:rsidR="0068722C" w:rsidRPr="0068722C" w:rsidRDefault="0068722C" w:rsidP="0068722C">
      <w:pPr>
        <w:jc w:val="both"/>
        <w:rPr>
          <w:rFonts w:ascii="Times New Roman" w:hAnsi="Times New Roman" w:cs="Times New Roman"/>
          <w:sz w:val="24"/>
        </w:rPr>
      </w:pPr>
    </w:p>
    <w:p w:rsidR="0068722C" w:rsidRPr="0068722C" w:rsidRDefault="0068722C" w:rsidP="009E5D05">
      <w:pPr>
        <w:spacing w:after="0"/>
        <w:jc w:val="both"/>
        <w:rPr>
          <w:rFonts w:ascii="Times New Roman" w:hAnsi="Times New Roman" w:cs="Times New Roman"/>
          <w:b/>
          <w:sz w:val="24"/>
        </w:rPr>
      </w:pPr>
      <w:r w:rsidRPr="0068722C">
        <w:rPr>
          <w:rFonts w:ascii="Times New Roman" w:hAnsi="Times New Roman" w:cs="Times New Roman"/>
          <w:b/>
          <w:sz w:val="24"/>
        </w:rPr>
        <w:t>6. Conclusion</w:t>
      </w:r>
    </w:p>
    <w:p w:rsidR="0068722C" w:rsidRPr="0068722C" w:rsidRDefault="0068722C" w:rsidP="0068722C">
      <w:pPr>
        <w:jc w:val="both"/>
        <w:rPr>
          <w:rFonts w:ascii="Times New Roman" w:hAnsi="Times New Roman" w:cs="Times New Roman"/>
          <w:sz w:val="24"/>
        </w:rPr>
      </w:pPr>
      <w:r w:rsidRPr="0068722C">
        <w:rPr>
          <w:rFonts w:ascii="Times New Roman" w:hAnsi="Times New Roman" w:cs="Times New Roman"/>
          <w:sz w:val="24"/>
        </w:rPr>
        <w:t xml:space="preserve">The GSE46750 reanalysis identified 152 significant probes associated with differences between inflammatory and normal/reactive synovial tissue regions in OA, representing 137 unique annotated gene symbols. Among the top-ranked findings were CD48, IRF8, CCL2, PLA2G7, and MATN2. The volcano plot and </w:t>
      </w:r>
      <w:proofErr w:type="spellStart"/>
      <w:r w:rsidRPr="0068722C">
        <w:rPr>
          <w:rFonts w:ascii="Times New Roman" w:hAnsi="Times New Roman" w:cs="Times New Roman"/>
          <w:sz w:val="24"/>
        </w:rPr>
        <w:t>heatmap</w:t>
      </w:r>
      <w:proofErr w:type="spellEnd"/>
      <w:r w:rsidRPr="0068722C">
        <w:rPr>
          <w:rFonts w:ascii="Times New Roman" w:hAnsi="Times New Roman" w:cs="Times New Roman"/>
          <w:sz w:val="24"/>
        </w:rPr>
        <w:t xml:space="preserve"> summarize the statistical and expression-pattern results. These findings provide a set of candidates for further investigation of regional synovial biology, but experimental validation and additional datasets are needed to assess their robustness and biological significance.</w:t>
      </w:r>
    </w:p>
    <w:p w:rsidR="0068722C" w:rsidRPr="0068722C" w:rsidRDefault="0068722C" w:rsidP="009E5D05">
      <w:pPr>
        <w:spacing w:after="0"/>
        <w:jc w:val="both"/>
        <w:rPr>
          <w:rFonts w:ascii="Times New Roman" w:hAnsi="Times New Roman" w:cs="Times New Roman"/>
          <w:b/>
          <w:sz w:val="24"/>
        </w:rPr>
      </w:pPr>
      <w:r w:rsidRPr="0068722C">
        <w:rPr>
          <w:rFonts w:ascii="Times New Roman" w:hAnsi="Times New Roman" w:cs="Times New Roman"/>
          <w:b/>
          <w:sz w:val="24"/>
        </w:rPr>
        <w:t>7. Data and code availability</w:t>
      </w:r>
    </w:p>
    <w:p w:rsidR="0068722C" w:rsidRPr="0068722C" w:rsidRDefault="0068722C" w:rsidP="0068722C">
      <w:pPr>
        <w:jc w:val="both"/>
        <w:rPr>
          <w:rFonts w:ascii="Times New Roman" w:hAnsi="Times New Roman" w:cs="Times New Roman"/>
          <w:sz w:val="24"/>
        </w:rPr>
      </w:pPr>
      <w:r w:rsidRPr="0068722C">
        <w:rPr>
          <w:rFonts w:ascii="Times New Roman" w:hAnsi="Times New Roman" w:cs="Times New Roman"/>
          <w:sz w:val="24"/>
        </w:rPr>
        <w:t>The dataset is publicly available through the NCBI Gene Expression Omnibus under accession GSE46750. The project output folder contains annotated probe results, significant-probe results, differential-expression tables, GO-related output tables, candidate-gene results, and figure files. Add the exact repository URL after publishing the project on GitHub. To support reproducibility, include the R script or notebook an</w:t>
      </w:r>
      <w:bookmarkStart w:id="0" w:name="_GoBack"/>
      <w:bookmarkEnd w:id="0"/>
      <w:r w:rsidRPr="0068722C">
        <w:rPr>
          <w:rFonts w:ascii="Times New Roman" w:hAnsi="Times New Roman" w:cs="Times New Roman"/>
          <w:sz w:val="24"/>
        </w:rPr>
        <w:t>d session/package information.</w:t>
      </w:r>
    </w:p>
    <w:sectPr w:rsidR="0068722C" w:rsidRPr="006872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205C3"/>
    <w:multiLevelType w:val="hybridMultilevel"/>
    <w:tmpl w:val="588ED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10664A"/>
    <w:multiLevelType w:val="hybridMultilevel"/>
    <w:tmpl w:val="E5325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F8A"/>
    <w:rsid w:val="00127215"/>
    <w:rsid w:val="00190B28"/>
    <w:rsid w:val="004C3BC8"/>
    <w:rsid w:val="0068722C"/>
    <w:rsid w:val="0069636E"/>
    <w:rsid w:val="00981BEA"/>
    <w:rsid w:val="009E5D05"/>
    <w:rsid w:val="00AB2F8A"/>
    <w:rsid w:val="00AC6856"/>
    <w:rsid w:val="00B21288"/>
    <w:rsid w:val="00BA1B5B"/>
    <w:rsid w:val="00D13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C560B"/>
  <w15:chartTrackingRefBased/>
  <w15:docId w15:val="{51A62A3E-DC3B-47CA-B0B0-05F798260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x-docx-previewheading1">
    <w:name w:val="codex-docx-preview_heading1"/>
    <w:basedOn w:val="Normal"/>
    <w:rsid w:val="00AB2F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dex-docx-previewheading2">
    <w:name w:val="codex-docx-preview_heading2"/>
    <w:basedOn w:val="Normal"/>
    <w:rsid w:val="00AB2F8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B2F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dex-docx-previewlistnumber">
    <w:name w:val="codex-docx-preview_listnumber"/>
    <w:basedOn w:val="Normal"/>
    <w:rsid w:val="00AB2F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dex-docx-previewlistbullet">
    <w:name w:val="codex-docx-preview_listbullet"/>
    <w:basedOn w:val="Normal"/>
    <w:rsid w:val="00AB2F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dex-docx-previewfooter">
    <w:name w:val="codex-docx-preview_footer"/>
    <w:basedOn w:val="Normal"/>
    <w:rsid w:val="00AB2F8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90B28"/>
    <w:pPr>
      <w:ind w:left="720"/>
      <w:contextualSpacing/>
    </w:pPr>
  </w:style>
  <w:style w:type="table" w:styleId="TableGrid">
    <w:name w:val="Table Grid"/>
    <w:basedOn w:val="TableNormal"/>
    <w:uiPriority w:val="39"/>
    <w:rsid w:val="006963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033556">
      <w:bodyDiv w:val="1"/>
      <w:marLeft w:val="0"/>
      <w:marRight w:val="0"/>
      <w:marTop w:val="0"/>
      <w:marBottom w:val="0"/>
      <w:divBdr>
        <w:top w:val="none" w:sz="0" w:space="0" w:color="auto"/>
        <w:left w:val="none" w:sz="0" w:space="0" w:color="auto"/>
        <w:bottom w:val="none" w:sz="0" w:space="0" w:color="auto"/>
        <w:right w:val="none" w:sz="0" w:space="0" w:color="auto"/>
      </w:divBdr>
    </w:div>
    <w:div w:id="156504439">
      <w:bodyDiv w:val="1"/>
      <w:marLeft w:val="0"/>
      <w:marRight w:val="0"/>
      <w:marTop w:val="0"/>
      <w:marBottom w:val="0"/>
      <w:divBdr>
        <w:top w:val="none" w:sz="0" w:space="0" w:color="auto"/>
        <w:left w:val="none" w:sz="0" w:space="0" w:color="auto"/>
        <w:bottom w:val="none" w:sz="0" w:space="0" w:color="auto"/>
        <w:right w:val="none" w:sz="0" w:space="0" w:color="auto"/>
      </w:divBdr>
    </w:div>
    <w:div w:id="194580077">
      <w:bodyDiv w:val="1"/>
      <w:marLeft w:val="0"/>
      <w:marRight w:val="0"/>
      <w:marTop w:val="0"/>
      <w:marBottom w:val="0"/>
      <w:divBdr>
        <w:top w:val="none" w:sz="0" w:space="0" w:color="auto"/>
        <w:left w:val="none" w:sz="0" w:space="0" w:color="auto"/>
        <w:bottom w:val="none" w:sz="0" w:space="0" w:color="auto"/>
        <w:right w:val="none" w:sz="0" w:space="0" w:color="auto"/>
      </w:divBdr>
    </w:div>
    <w:div w:id="237789430">
      <w:bodyDiv w:val="1"/>
      <w:marLeft w:val="0"/>
      <w:marRight w:val="0"/>
      <w:marTop w:val="0"/>
      <w:marBottom w:val="0"/>
      <w:divBdr>
        <w:top w:val="none" w:sz="0" w:space="0" w:color="auto"/>
        <w:left w:val="none" w:sz="0" w:space="0" w:color="auto"/>
        <w:bottom w:val="none" w:sz="0" w:space="0" w:color="auto"/>
        <w:right w:val="none" w:sz="0" w:space="0" w:color="auto"/>
      </w:divBdr>
    </w:div>
    <w:div w:id="299649918">
      <w:bodyDiv w:val="1"/>
      <w:marLeft w:val="0"/>
      <w:marRight w:val="0"/>
      <w:marTop w:val="0"/>
      <w:marBottom w:val="0"/>
      <w:divBdr>
        <w:top w:val="none" w:sz="0" w:space="0" w:color="auto"/>
        <w:left w:val="none" w:sz="0" w:space="0" w:color="auto"/>
        <w:bottom w:val="none" w:sz="0" w:space="0" w:color="auto"/>
        <w:right w:val="none" w:sz="0" w:space="0" w:color="auto"/>
      </w:divBdr>
    </w:div>
    <w:div w:id="407970711">
      <w:bodyDiv w:val="1"/>
      <w:marLeft w:val="0"/>
      <w:marRight w:val="0"/>
      <w:marTop w:val="0"/>
      <w:marBottom w:val="0"/>
      <w:divBdr>
        <w:top w:val="none" w:sz="0" w:space="0" w:color="auto"/>
        <w:left w:val="none" w:sz="0" w:space="0" w:color="auto"/>
        <w:bottom w:val="none" w:sz="0" w:space="0" w:color="auto"/>
        <w:right w:val="none" w:sz="0" w:space="0" w:color="auto"/>
      </w:divBdr>
    </w:div>
    <w:div w:id="496926184">
      <w:bodyDiv w:val="1"/>
      <w:marLeft w:val="0"/>
      <w:marRight w:val="0"/>
      <w:marTop w:val="0"/>
      <w:marBottom w:val="0"/>
      <w:divBdr>
        <w:top w:val="none" w:sz="0" w:space="0" w:color="auto"/>
        <w:left w:val="none" w:sz="0" w:space="0" w:color="auto"/>
        <w:bottom w:val="none" w:sz="0" w:space="0" w:color="auto"/>
        <w:right w:val="none" w:sz="0" w:space="0" w:color="auto"/>
      </w:divBdr>
    </w:div>
    <w:div w:id="560678992">
      <w:bodyDiv w:val="1"/>
      <w:marLeft w:val="0"/>
      <w:marRight w:val="0"/>
      <w:marTop w:val="0"/>
      <w:marBottom w:val="0"/>
      <w:divBdr>
        <w:top w:val="none" w:sz="0" w:space="0" w:color="auto"/>
        <w:left w:val="none" w:sz="0" w:space="0" w:color="auto"/>
        <w:bottom w:val="none" w:sz="0" w:space="0" w:color="auto"/>
        <w:right w:val="none" w:sz="0" w:space="0" w:color="auto"/>
      </w:divBdr>
    </w:div>
    <w:div w:id="657348325">
      <w:bodyDiv w:val="1"/>
      <w:marLeft w:val="0"/>
      <w:marRight w:val="0"/>
      <w:marTop w:val="0"/>
      <w:marBottom w:val="0"/>
      <w:divBdr>
        <w:top w:val="none" w:sz="0" w:space="0" w:color="auto"/>
        <w:left w:val="none" w:sz="0" w:space="0" w:color="auto"/>
        <w:bottom w:val="none" w:sz="0" w:space="0" w:color="auto"/>
        <w:right w:val="none" w:sz="0" w:space="0" w:color="auto"/>
      </w:divBdr>
    </w:div>
    <w:div w:id="705908775">
      <w:bodyDiv w:val="1"/>
      <w:marLeft w:val="0"/>
      <w:marRight w:val="0"/>
      <w:marTop w:val="0"/>
      <w:marBottom w:val="0"/>
      <w:divBdr>
        <w:top w:val="none" w:sz="0" w:space="0" w:color="auto"/>
        <w:left w:val="none" w:sz="0" w:space="0" w:color="auto"/>
        <w:bottom w:val="none" w:sz="0" w:space="0" w:color="auto"/>
        <w:right w:val="none" w:sz="0" w:space="0" w:color="auto"/>
      </w:divBdr>
    </w:div>
    <w:div w:id="710957651">
      <w:bodyDiv w:val="1"/>
      <w:marLeft w:val="0"/>
      <w:marRight w:val="0"/>
      <w:marTop w:val="0"/>
      <w:marBottom w:val="0"/>
      <w:divBdr>
        <w:top w:val="none" w:sz="0" w:space="0" w:color="auto"/>
        <w:left w:val="none" w:sz="0" w:space="0" w:color="auto"/>
        <w:bottom w:val="none" w:sz="0" w:space="0" w:color="auto"/>
        <w:right w:val="none" w:sz="0" w:space="0" w:color="auto"/>
      </w:divBdr>
    </w:div>
    <w:div w:id="797603444">
      <w:bodyDiv w:val="1"/>
      <w:marLeft w:val="0"/>
      <w:marRight w:val="0"/>
      <w:marTop w:val="0"/>
      <w:marBottom w:val="0"/>
      <w:divBdr>
        <w:top w:val="none" w:sz="0" w:space="0" w:color="auto"/>
        <w:left w:val="none" w:sz="0" w:space="0" w:color="auto"/>
        <w:bottom w:val="none" w:sz="0" w:space="0" w:color="auto"/>
        <w:right w:val="none" w:sz="0" w:space="0" w:color="auto"/>
      </w:divBdr>
    </w:div>
    <w:div w:id="866679651">
      <w:bodyDiv w:val="1"/>
      <w:marLeft w:val="0"/>
      <w:marRight w:val="0"/>
      <w:marTop w:val="0"/>
      <w:marBottom w:val="0"/>
      <w:divBdr>
        <w:top w:val="none" w:sz="0" w:space="0" w:color="auto"/>
        <w:left w:val="none" w:sz="0" w:space="0" w:color="auto"/>
        <w:bottom w:val="none" w:sz="0" w:space="0" w:color="auto"/>
        <w:right w:val="none" w:sz="0" w:space="0" w:color="auto"/>
      </w:divBdr>
    </w:div>
    <w:div w:id="926615701">
      <w:bodyDiv w:val="1"/>
      <w:marLeft w:val="0"/>
      <w:marRight w:val="0"/>
      <w:marTop w:val="0"/>
      <w:marBottom w:val="0"/>
      <w:divBdr>
        <w:top w:val="none" w:sz="0" w:space="0" w:color="auto"/>
        <w:left w:val="none" w:sz="0" w:space="0" w:color="auto"/>
        <w:bottom w:val="none" w:sz="0" w:space="0" w:color="auto"/>
        <w:right w:val="none" w:sz="0" w:space="0" w:color="auto"/>
      </w:divBdr>
      <w:divsChild>
        <w:div w:id="311368351">
          <w:marLeft w:val="0"/>
          <w:marRight w:val="0"/>
          <w:marTop w:val="0"/>
          <w:marBottom w:val="0"/>
          <w:divBdr>
            <w:top w:val="single" w:sz="2" w:space="0" w:color="auto"/>
            <w:left w:val="single" w:sz="2" w:space="0" w:color="auto"/>
            <w:bottom w:val="single" w:sz="2" w:space="0" w:color="auto"/>
            <w:right w:val="single" w:sz="2" w:space="0" w:color="auto"/>
          </w:divBdr>
        </w:div>
        <w:div w:id="1708673771">
          <w:marLeft w:val="0"/>
          <w:marRight w:val="0"/>
          <w:marTop w:val="0"/>
          <w:marBottom w:val="0"/>
          <w:divBdr>
            <w:top w:val="single" w:sz="2" w:space="0" w:color="auto"/>
            <w:left w:val="single" w:sz="2" w:space="0" w:color="auto"/>
            <w:bottom w:val="single" w:sz="2" w:space="0" w:color="auto"/>
            <w:right w:val="single" w:sz="2" w:space="0" w:color="auto"/>
          </w:divBdr>
        </w:div>
      </w:divsChild>
    </w:div>
    <w:div w:id="1097751647">
      <w:bodyDiv w:val="1"/>
      <w:marLeft w:val="0"/>
      <w:marRight w:val="0"/>
      <w:marTop w:val="0"/>
      <w:marBottom w:val="0"/>
      <w:divBdr>
        <w:top w:val="none" w:sz="0" w:space="0" w:color="auto"/>
        <w:left w:val="none" w:sz="0" w:space="0" w:color="auto"/>
        <w:bottom w:val="none" w:sz="0" w:space="0" w:color="auto"/>
        <w:right w:val="none" w:sz="0" w:space="0" w:color="auto"/>
      </w:divBdr>
    </w:div>
    <w:div w:id="1197811926">
      <w:bodyDiv w:val="1"/>
      <w:marLeft w:val="0"/>
      <w:marRight w:val="0"/>
      <w:marTop w:val="0"/>
      <w:marBottom w:val="0"/>
      <w:divBdr>
        <w:top w:val="none" w:sz="0" w:space="0" w:color="auto"/>
        <w:left w:val="none" w:sz="0" w:space="0" w:color="auto"/>
        <w:bottom w:val="none" w:sz="0" w:space="0" w:color="auto"/>
        <w:right w:val="none" w:sz="0" w:space="0" w:color="auto"/>
      </w:divBdr>
    </w:div>
    <w:div w:id="1408454362">
      <w:bodyDiv w:val="1"/>
      <w:marLeft w:val="0"/>
      <w:marRight w:val="0"/>
      <w:marTop w:val="0"/>
      <w:marBottom w:val="0"/>
      <w:divBdr>
        <w:top w:val="none" w:sz="0" w:space="0" w:color="auto"/>
        <w:left w:val="none" w:sz="0" w:space="0" w:color="auto"/>
        <w:bottom w:val="none" w:sz="0" w:space="0" w:color="auto"/>
        <w:right w:val="none" w:sz="0" w:space="0" w:color="auto"/>
      </w:divBdr>
      <w:divsChild>
        <w:div w:id="818961311">
          <w:marLeft w:val="0"/>
          <w:marRight w:val="0"/>
          <w:marTop w:val="0"/>
          <w:marBottom w:val="0"/>
          <w:divBdr>
            <w:top w:val="single" w:sz="2" w:space="0" w:color="auto"/>
            <w:left w:val="single" w:sz="2" w:space="0" w:color="auto"/>
            <w:bottom w:val="single" w:sz="2" w:space="0" w:color="auto"/>
            <w:right w:val="single" w:sz="2" w:space="0" w:color="auto"/>
          </w:divBdr>
        </w:div>
        <w:div w:id="381515446">
          <w:marLeft w:val="0"/>
          <w:marRight w:val="0"/>
          <w:marTop w:val="0"/>
          <w:marBottom w:val="0"/>
          <w:divBdr>
            <w:top w:val="single" w:sz="2" w:space="0" w:color="auto"/>
            <w:left w:val="single" w:sz="2" w:space="0" w:color="auto"/>
            <w:bottom w:val="single" w:sz="2" w:space="0" w:color="auto"/>
            <w:right w:val="single" w:sz="2" w:space="0" w:color="auto"/>
          </w:divBdr>
        </w:div>
      </w:divsChild>
    </w:div>
    <w:div w:id="1415471771">
      <w:bodyDiv w:val="1"/>
      <w:marLeft w:val="0"/>
      <w:marRight w:val="0"/>
      <w:marTop w:val="0"/>
      <w:marBottom w:val="0"/>
      <w:divBdr>
        <w:top w:val="none" w:sz="0" w:space="0" w:color="auto"/>
        <w:left w:val="none" w:sz="0" w:space="0" w:color="auto"/>
        <w:bottom w:val="none" w:sz="0" w:space="0" w:color="auto"/>
        <w:right w:val="none" w:sz="0" w:space="0" w:color="auto"/>
      </w:divBdr>
    </w:div>
    <w:div w:id="1487240816">
      <w:bodyDiv w:val="1"/>
      <w:marLeft w:val="0"/>
      <w:marRight w:val="0"/>
      <w:marTop w:val="0"/>
      <w:marBottom w:val="0"/>
      <w:divBdr>
        <w:top w:val="none" w:sz="0" w:space="0" w:color="auto"/>
        <w:left w:val="none" w:sz="0" w:space="0" w:color="auto"/>
        <w:bottom w:val="none" w:sz="0" w:space="0" w:color="auto"/>
        <w:right w:val="none" w:sz="0" w:space="0" w:color="auto"/>
      </w:divBdr>
      <w:divsChild>
        <w:div w:id="1305701352">
          <w:marLeft w:val="0"/>
          <w:marRight w:val="0"/>
          <w:marTop w:val="0"/>
          <w:marBottom w:val="0"/>
          <w:divBdr>
            <w:top w:val="single" w:sz="2" w:space="0" w:color="auto"/>
            <w:left w:val="single" w:sz="2" w:space="0" w:color="auto"/>
            <w:bottom w:val="single" w:sz="2" w:space="0" w:color="auto"/>
            <w:right w:val="single" w:sz="2" w:space="0" w:color="auto"/>
          </w:divBdr>
        </w:div>
        <w:div w:id="1231114301">
          <w:marLeft w:val="0"/>
          <w:marRight w:val="0"/>
          <w:marTop w:val="0"/>
          <w:marBottom w:val="0"/>
          <w:divBdr>
            <w:top w:val="single" w:sz="2" w:space="0" w:color="auto"/>
            <w:left w:val="single" w:sz="2" w:space="0" w:color="auto"/>
            <w:bottom w:val="single" w:sz="2" w:space="0" w:color="auto"/>
            <w:right w:val="single" w:sz="2" w:space="0" w:color="auto"/>
          </w:divBdr>
        </w:div>
      </w:divsChild>
    </w:div>
    <w:div w:id="1579440755">
      <w:bodyDiv w:val="1"/>
      <w:marLeft w:val="0"/>
      <w:marRight w:val="0"/>
      <w:marTop w:val="0"/>
      <w:marBottom w:val="0"/>
      <w:divBdr>
        <w:top w:val="none" w:sz="0" w:space="0" w:color="auto"/>
        <w:left w:val="none" w:sz="0" w:space="0" w:color="auto"/>
        <w:bottom w:val="none" w:sz="0" w:space="0" w:color="auto"/>
        <w:right w:val="none" w:sz="0" w:space="0" w:color="auto"/>
      </w:divBdr>
    </w:div>
    <w:div w:id="1589539882">
      <w:bodyDiv w:val="1"/>
      <w:marLeft w:val="0"/>
      <w:marRight w:val="0"/>
      <w:marTop w:val="0"/>
      <w:marBottom w:val="0"/>
      <w:divBdr>
        <w:top w:val="none" w:sz="0" w:space="0" w:color="auto"/>
        <w:left w:val="none" w:sz="0" w:space="0" w:color="auto"/>
        <w:bottom w:val="none" w:sz="0" w:space="0" w:color="auto"/>
        <w:right w:val="none" w:sz="0" w:space="0" w:color="auto"/>
      </w:divBdr>
    </w:div>
    <w:div w:id="1595938854">
      <w:bodyDiv w:val="1"/>
      <w:marLeft w:val="0"/>
      <w:marRight w:val="0"/>
      <w:marTop w:val="0"/>
      <w:marBottom w:val="0"/>
      <w:divBdr>
        <w:top w:val="none" w:sz="0" w:space="0" w:color="auto"/>
        <w:left w:val="none" w:sz="0" w:space="0" w:color="auto"/>
        <w:bottom w:val="none" w:sz="0" w:space="0" w:color="auto"/>
        <w:right w:val="none" w:sz="0" w:space="0" w:color="auto"/>
      </w:divBdr>
    </w:div>
    <w:div w:id="1648708358">
      <w:bodyDiv w:val="1"/>
      <w:marLeft w:val="0"/>
      <w:marRight w:val="0"/>
      <w:marTop w:val="0"/>
      <w:marBottom w:val="0"/>
      <w:divBdr>
        <w:top w:val="none" w:sz="0" w:space="0" w:color="auto"/>
        <w:left w:val="none" w:sz="0" w:space="0" w:color="auto"/>
        <w:bottom w:val="none" w:sz="0" w:space="0" w:color="auto"/>
        <w:right w:val="none" w:sz="0" w:space="0" w:color="auto"/>
      </w:divBdr>
    </w:div>
    <w:div w:id="1711373706">
      <w:bodyDiv w:val="1"/>
      <w:marLeft w:val="0"/>
      <w:marRight w:val="0"/>
      <w:marTop w:val="0"/>
      <w:marBottom w:val="0"/>
      <w:divBdr>
        <w:top w:val="none" w:sz="0" w:space="0" w:color="auto"/>
        <w:left w:val="none" w:sz="0" w:space="0" w:color="auto"/>
        <w:bottom w:val="none" w:sz="0" w:space="0" w:color="auto"/>
        <w:right w:val="none" w:sz="0" w:space="0" w:color="auto"/>
      </w:divBdr>
    </w:div>
    <w:div w:id="1712682983">
      <w:bodyDiv w:val="1"/>
      <w:marLeft w:val="0"/>
      <w:marRight w:val="0"/>
      <w:marTop w:val="0"/>
      <w:marBottom w:val="0"/>
      <w:divBdr>
        <w:top w:val="none" w:sz="0" w:space="0" w:color="auto"/>
        <w:left w:val="none" w:sz="0" w:space="0" w:color="auto"/>
        <w:bottom w:val="none" w:sz="0" w:space="0" w:color="auto"/>
        <w:right w:val="none" w:sz="0" w:space="0" w:color="auto"/>
      </w:divBdr>
    </w:div>
    <w:div w:id="1822386082">
      <w:bodyDiv w:val="1"/>
      <w:marLeft w:val="0"/>
      <w:marRight w:val="0"/>
      <w:marTop w:val="0"/>
      <w:marBottom w:val="0"/>
      <w:divBdr>
        <w:top w:val="none" w:sz="0" w:space="0" w:color="auto"/>
        <w:left w:val="none" w:sz="0" w:space="0" w:color="auto"/>
        <w:bottom w:val="none" w:sz="0" w:space="0" w:color="auto"/>
        <w:right w:val="none" w:sz="0" w:space="0" w:color="auto"/>
      </w:divBdr>
    </w:div>
    <w:div w:id="1827476711">
      <w:bodyDiv w:val="1"/>
      <w:marLeft w:val="0"/>
      <w:marRight w:val="0"/>
      <w:marTop w:val="0"/>
      <w:marBottom w:val="0"/>
      <w:divBdr>
        <w:top w:val="none" w:sz="0" w:space="0" w:color="auto"/>
        <w:left w:val="none" w:sz="0" w:space="0" w:color="auto"/>
        <w:bottom w:val="none" w:sz="0" w:space="0" w:color="auto"/>
        <w:right w:val="none" w:sz="0" w:space="0" w:color="auto"/>
      </w:divBdr>
    </w:div>
    <w:div w:id="1839225936">
      <w:bodyDiv w:val="1"/>
      <w:marLeft w:val="0"/>
      <w:marRight w:val="0"/>
      <w:marTop w:val="0"/>
      <w:marBottom w:val="0"/>
      <w:divBdr>
        <w:top w:val="none" w:sz="0" w:space="0" w:color="auto"/>
        <w:left w:val="none" w:sz="0" w:space="0" w:color="auto"/>
        <w:bottom w:val="none" w:sz="0" w:space="0" w:color="auto"/>
        <w:right w:val="none" w:sz="0" w:space="0" w:color="auto"/>
      </w:divBdr>
    </w:div>
    <w:div w:id="1847478459">
      <w:bodyDiv w:val="1"/>
      <w:marLeft w:val="0"/>
      <w:marRight w:val="0"/>
      <w:marTop w:val="0"/>
      <w:marBottom w:val="0"/>
      <w:divBdr>
        <w:top w:val="none" w:sz="0" w:space="0" w:color="auto"/>
        <w:left w:val="none" w:sz="0" w:space="0" w:color="auto"/>
        <w:bottom w:val="none" w:sz="0" w:space="0" w:color="auto"/>
        <w:right w:val="none" w:sz="0" w:space="0" w:color="auto"/>
      </w:divBdr>
    </w:div>
    <w:div w:id="2074694597">
      <w:bodyDiv w:val="1"/>
      <w:marLeft w:val="0"/>
      <w:marRight w:val="0"/>
      <w:marTop w:val="0"/>
      <w:marBottom w:val="0"/>
      <w:divBdr>
        <w:top w:val="none" w:sz="0" w:space="0" w:color="auto"/>
        <w:left w:val="none" w:sz="0" w:space="0" w:color="auto"/>
        <w:bottom w:val="none" w:sz="0" w:space="0" w:color="auto"/>
        <w:right w:val="none" w:sz="0" w:space="0" w:color="auto"/>
      </w:divBdr>
    </w:div>
    <w:div w:id="2076118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8</Pages>
  <Words>2213</Words>
  <Characters>12620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ullah</dc:creator>
  <cp:keywords/>
  <dc:description/>
  <cp:lastModifiedBy>Sami ullah</cp:lastModifiedBy>
  <cp:revision>2</cp:revision>
  <dcterms:created xsi:type="dcterms:W3CDTF">2026-10-20T15:20:00Z</dcterms:created>
  <dcterms:modified xsi:type="dcterms:W3CDTF">2026-10-21T15:13:00Z</dcterms:modified>
</cp:coreProperties>
</file>