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919"/>
        <w:gridCol w:w="1940"/>
        <w:gridCol w:w="1161"/>
        <w:gridCol w:w="893"/>
        <w:gridCol w:w="1131"/>
        <w:gridCol w:w="1033"/>
        <w:gridCol w:w="1941"/>
        <w:gridCol w:w="802"/>
        <w:gridCol w:w="4245"/>
      </w:tblGrid>
      <w:tr w:rsidRPr="00010558" w:rsidR="00010558" w:rsidTr="56C043C7" w14:paraId="49D7C4A3" w14:textId="77777777">
        <w:trPr>
          <w:trHeight w:val="2082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2E715D99" w14:textId="21C38905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56C043C7" w:rsidR="353B2447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I</w:t>
            </w:r>
            <w:r w:rsidRPr="56C043C7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E2082B5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0434892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043FBAE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0B1B189B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298BB658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6FDF251C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E9F8686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75D6A230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6190B6A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Pr="00010558" w:rsidR="00010558" w:rsidTr="56C043C7" w14:paraId="75AA5C45" w14:textId="77777777">
        <w:trPr>
          <w:trHeight w:val="2082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1FF35F15" w14:textId="4D66844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56935F07" w14:textId="6CF414EF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635D5DD0" w:rsidR="00010558">
              <w:rPr>
                <w:rFonts w:cs="Calibri"/>
              </w:rPr>
              <w:t>[0</w:t>
            </w:r>
            <w:r w:rsidRPr="635D5DD0" w:rsidR="118340B2">
              <w:rPr>
                <w:rFonts w:cs="Calibri"/>
              </w:rPr>
              <w:t>4</w:t>
            </w:r>
            <w:r w:rsidRPr="635D5DD0" w:rsidR="00010558">
              <w:rPr>
                <w:rFonts w:cs="Calibri"/>
              </w:rPr>
              <w:t>-06-202</w:t>
            </w:r>
            <w:r w:rsidRPr="635D5DD0" w:rsidR="65CC87E9">
              <w:rPr>
                <w:rFonts w:cs="Calibri"/>
              </w:rPr>
              <w:t>3</w:t>
            </w:r>
            <w:r w:rsidRPr="635D5DD0" w:rsidR="00010558">
              <w:rPr>
                <w:rFonts w:cs="Calibri"/>
              </w:rPr>
              <w:t>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6EB1646F" w14:textId="415AA88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Pr="00010558" w:rsidR="00010558" w:rsidP="00010558" w:rsidRDefault="00010558" w14:paraId="2666EED0" w14:textId="4DFFF1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Pr="00010558" w:rsidR="00010558" w:rsidP="00010558" w:rsidRDefault="00010558" w14:paraId="55E45809" w14:textId="6ED7E70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4122D22" w14:textId="6BC757F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85A3F5A" w14:textId="598606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793D3CE7" w14:textId="05A4106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10558" w:rsidP="00010558" w:rsidRDefault="00010558" w14:paraId="72AA0B9B" w14:textId="77777777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:rsidRPr="00010558" w:rsidR="00010558" w:rsidP="00010558" w:rsidRDefault="00010558" w14:paraId="3D56689F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99084D" w14:paraId="36F87B99" w14:textId="6886B8C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w:history="1" r:id="rId5">
              <w:r w:rsidRPr="006E6268" w:rsidR="0001055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635D5DD0" w:rsidTr="56C043C7" w14:paraId="227256EC">
        <w:trPr>
          <w:trHeight w:val="2082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B5E1187" w:rsidP="635D5DD0" w:rsidRDefault="1B5E1187" w14:paraId="767887A1" w14:textId="6D42BD26">
            <w:pPr>
              <w:pStyle w:val="Normal"/>
              <w:spacing w:line="240" w:lineRule="auto"/>
              <w:rPr>
                <w:rFonts w:cs="Calibri"/>
              </w:rPr>
            </w:pPr>
            <w:r w:rsidRPr="635D5DD0" w:rsidR="1B5E1187">
              <w:rPr>
                <w:rFonts w:cs="Calibri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765A4F4" w:rsidP="635D5DD0" w:rsidRDefault="1765A4F4" w14:paraId="40DCDAE4" w14:textId="0C1D331D">
            <w:pPr>
              <w:pStyle w:val="Normal"/>
              <w:spacing w:line="240" w:lineRule="auto"/>
              <w:rPr>
                <w:rFonts w:cs="Calibri"/>
              </w:rPr>
            </w:pPr>
            <w:r w:rsidRPr="635D5DD0" w:rsidR="1765A4F4">
              <w:rPr>
                <w:rFonts w:cs="Calibri"/>
              </w:rPr>
              <w:t>[</w:t>
            </w:r>
            <w:r w:rsidRPr="635D5DD0" w:rsidR="3524E5A7">
              <w:rPr>
                <w:rFonts w:cs="Calibri"/>
              </w:rPr>
              <w:t>5</w:t>
            </w:r>
            <w:r w:rsidRPr="635D5DD0" w:rsidR="1765A4F4">
              <w:rPr>
                <w:rFonts w:cs="Calibri"/>
              </w:rPr>
              <w:t>-06-2023]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C905136" w:rsidP="635D5DD0" w:rsidRDefault="4C905136" w14:paraId="04EE27F0" w14:textId="67D8B5D8">
            <w:pPr>
              <w:pStyle w:val="Normal"/>
              <w:spacing w:line="240" w:lineRule="auto"/>
              <w:rPr>
                <w:rFonts w:cs="Calibri"/>
              </w:rPr>
            </w:pPr>
            <w:r w:rsidRPr="635D5DD0" w:rsidR="4C905136">
              <w:rPr>
                <w:rFonts w:cs="Calibri"/>
              </w:rPr>
              <w:t>Files missing or links not working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4C905136" w:rsidP="635D5DD0" w:rsidRDefault="4C905136" w14:paraId="07C220FB" w14:textId="25A866D1">
            <w:pPr>
              <w:pStyle w:val="Normal"/>
              <w:spacing w:line="240" w:lineRule="auto"/>
              <w:rPr>
                <w:rFonts w:cs="Calibri"/>
              </w:rPr>
            </w:pPr>
            <w:r w:rsidRPr="635D5DD0" w:rsidR="4C905136">
              <w:rPr>
                <w:rFonts w:cs="Calibri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4516E06C" w:rsidP="635D5DD0" w:rsidRDefault="4516E06C" w14:paraId="1FFB26FD" w14:textId="1193914A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635D5DD0" w:rsidR="4516E06C"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C905136" w:rsidP="635D5DD0" w:rsidRDefault="4C905136" w14:paraId="10B0860F" w14:textId="1C2B64DE">
            <w:pPr>
              <w:pStyle w:val="Normal"/>
              <w:spacing w:line="240" w:lineRule="auto"/>
              <w:rPr>
                <w:rFonts w:cs="Calibri"/>
              </w:rPr>
            </w:pPr>
            <w:r w:rsidRPr="635D5DD0" w:rsidR="4C905136">
              <w:rPr>
                <w:rFonts w:cs="Calibri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C905136" w:rsidP="635D5DD0" w:rsidRDefault="4C905136" w14:paraId="748B7C08" w14:textId="111C4B9C">
            <w:pPr>
              <w:pStyle w:val="Normal"/>
              <w:spacing w:line="240" w:lineRule="auto"/>
              <w:rPr>
                <w:rFonts w:cs="Calibri"/>
              </w:rPr>
            </w:pPr>
            <w:r w:rsidRPr="635D5DD0" w:rsidR="4C905136">
              <w:rPr>
                <w:rFonts w:cs="Calibri"/>
              </w:rPr>
              <w:t>Senior Developer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C905136" w:rsidP="635D5DD0" w:rsidRDefault="4C905136" w14:paraId="031935C8" w14:textId="6D732B69">
            <w:pPr>
              <w:pStyle w:val="Normal"/>
              <w:spacing w:line="240" w:lineRule="auto"/>
              <w:rPr>
                <w:rFonts w:cs="Calibri"/>
              </w:rPr>
            </w:pPr>
            <w:r w:rsidRPr="635D5DD0" w:rsidR="4C905136">
              <w:rPr>
                <w:rFonts w:cs="Calibri"/>
              </w:rPr>
              <w:t xml:space="preserve">Before uploading to </w:t>
            </w:r>
            <w:r w:rsidRPr="635D5DD0" w:rsidR="4C905136">
              <w:rPr>
                <w:rFonts w:cs="Calibri"/>
              </w:rPr>
              <w:t>GitHub</w:t>
            </w:r>
            <w:r w:rsidRPr="635D5DD0" w:rsidR="4C905136">
              <w:rPr>
                <w:rFonts w:cs="Calibri"/>
              </w:rPr>
              <w:t xml:space="preserve"> do a final test to make sure all the required links are working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C905136" w:rsidP="635D5DD0" w:rsidRDefault="4C905136" w14:paraId="3F8CAB29" w14:textId="75970F1B">
            <w:pPr>
              <w:pStyle w:val="Normal"/>
              <w:rPr>
                <w:rFonts w:cs="Calibri"/>
              </w:rPr>
            </w:pPr>
            <w:r w:rsidRPr="635D5DD0" w:rsidR="4C905136"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35D5DD0" w:rsidP="635D5DD0" w:rsidRDefault="635D5DD0" w14:paraId="766428C3" w14:textId="620AB291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635D5DD0" w:rsidTr="56C043C7" w14:paraId="18A89266">
        <w:trPr>
          <w:trHeight w:val="2082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C905136" w:rsidP="635D5DD0" w:rsidRDefault="4C905136" w14:paraId="03F6FA75" w14:textId="685AA306">
            <w:pPr>
              <w:pStyle w:val="Normal"/>
              <w:spacing w:line="240" w:lineRule="auto"/>
              <w:rPr>
                <w:rFonts w:cs="Calibri"/>
              </w:rPr>
            </w:pPr>
            <w:r w:rsidRPr="635D5DD0" w:rsidR="4C905136">
              <w:rPr>
                <w:rFonts w:cs="Calibri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EE0EC2D" w:rsidP="635D5DD0" w:rsidRDefault="5EE0EC2D" w14:paraId="19FFCE5C" w14:textId="308DF757">
            <w:pPr>
              <w:pStyle w:val="Normal"/>
              <w:spacing w:line="240" w:lineRule="auto"/>
              <w:rPr>
                <w:rFonts w:cs="Calibri"/>
              </w:rPr>
            </w:pPr>
            <w:r w:rsidRPr="635D5DD0" w:rsidR="5EE0EC2D">
              <w:rPr>
                <w:rFonts w:cs="Calibri"/>
              </w:rPr>
              <w:t>[</w:t>
            </w:r>
            <w:r w:rsidRPr="635D5DD0" w:rsidR="4BBDD303">
              <w:rPr>
                <w:rFonts w:cs="Calibri"/>
              </w:rPr>
              <w:t>6-06-2023]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35D5DD0" w:rsidP="635D5DD0" w:rsidRDefault="635D5DD0" w14:paraId="34F46EA8" w14:textId="09793648">
            <w:pPr>
              <w:pStyle w:val="Normal"/>
              <w:spacing w:line="240" w:lineRule="auto"/>
              <w:rPr>
                <w:rFonts w:cs="Calibri"/>
              </w:rPr>
            </w:pPr>
            <w:r w:rsidRPr="56C043C7" w:rsidR="2F078CA3">
              <w:rPr>
                <w:rFonts w:cs="Calibri"/>
              </w:rPr>
              <w:t>Host going down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635D5DD0" w:rsidP="635D5DD0" w:rsidRDefault="635D5DD0" w14:paraId="261DEEBA" w14:textId="0DC72B93">
            <w:pPr>
              <w:pStyle w:val="Normal"/>
              <w:spacing w:line="240" w:lineRule="auto"/>
              <w:rPr>
                <w:rFonts w:cs="Calibri"/>
              </w:rPr>
            </w:pPr>
            <w:r w:rsidRPr="56C043C7" w:rsidR="2F078CA3">
              <w:rPr>
                <w:rFonts w:cs="Calibri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635D5DD0" w:rsidP="635D5DD0" w:rsidRDefault="635D5DD0" w14:paraId="3D0BC308" w14:textId="5EAA9A1F">
            <w:pPr>
              <w:pStyle w:val="Normal"/>
              <w:spacing w:line="240" w:lineRule="auto"/>
              <w:rPr>
                <w:rFonts w:cs="Calibri"/>
              </w:rPr>
            </w:pPr>
            <w:r w:rsidRPr="56C043C7" w:rsidR="2F078CA3"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35D5DD0" w:rsidP="635D5DD0" w:rsidRDefault="635D5DD0" w14:paraId="08A903E5" w14:textId="3D3BF924">
            <w:pPr>
              <w:pStyle w:val="Normal"/>
              <w:spacing w:line="240" w:lineRule="auto"/>
              <w:rPr>
                <w:rFonts w:cs="Calibri"/>
              </w:rPr>
            </w:pPr>
            <w:r w:rsidRPr="56C043C7" w:rsidR="2F078CA3"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35D5DD0" w:rsidP="635D5DD0" w:rsidRDefault="635D5DD0" w14:paraId="273FAC2F" w14:textId="03B38D95">
            <w:pPr>
              <w:pStyle w:val="Normal"/>
              <w:spacing w:line="240" w:lineRule="auto"/>
              <w:rPr>
                <w:rFonts w:cs="Calibri"/>
              </w:rPr>
            </w:pPr>
            <w:r w:rsidRPr="56C043C7" w:rsidR="2F078CA3">
              <w:rPr>
                <w:rFonts w:cs="Calibri"/>
              </w:rPr>
              <w:t>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35D5DD0" w:rsidP="635D5DD0" w:rsidRDefault="635D5DD0" w14:paraId="7CD3B583" w14:textId="3735510D">
            <w:pPr>
              <w:pStyle w:val="Normal"/>
              <w:spacing w:line="240" w:lineRule="auto"/>
              <w:rPr>
                <w:rFonts w:cs="Calibri"/>
              </w:rPr>
            </w:pPr>
            <w:r w:rsidRPr="56C043C7" w:rsidR="2F078CA3">
              <w:rPr>
                <w:rFonts w:cs="Calibri"/>
              </w:rPr>
              <w:t xml:space="preserve">If the website host goes </w:t>
            </w:r>
            <w:r w:rsidRPr="56C043C7" w:rsidR="2F078CA3">
              <w:rPr>
                <w:rFonts w:cs="Calibri"/>
              </w:rPr>
              <w:t>down</w:t>
            </w:r>
            <w:r w:rsidRPr="56C043C7" w:rsidR="2F078CA3">
              <w:rPr>
                <w:rFonts w:cs="Calibri"/>
              </w:rPr>
              <w:t xml:space="preserve"> </w:t>
            </w:r>
            <w:r w:rsidRPr="56C043C7" w:rsidR="2F078CA3">
              <w:rPr>
                <w:rFonts w:cs="Calibri"/>
              </w:rPr>
              <w:t xml:space="preserve">the </w:t>
            </w:r>
            <w:r w:rsidRPr="56C043C7" w:rsidR="2F078CA3">
              <w:rPr>
                <w:rFonts w:cs="Calibri"/>
              </w:rPr>
              <w:t>sp</w:t>
            </w:r>
            <w:r w:rsidRPr="56C043C7" w:rsidR="2F078CA3">
              <w:rPr>
                <w:rFonts w:cs="Calibri"/>
              </w:rPr>
              <w:t>onsor would have to figure out where to go with the website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35D5DD0" w:rsidP="635D5DD0" w:rsidRDefault="635D5DD0" w14:paraId="0E7D27AA" w14:textId="42AC73DE">
            <w:pPr>
              <w:pStyle w:val="Normal"/>
              <w:rPr>
                <w:rFonts w:cs="Calibri"/>
              </w:rPr>
            </w:pPr>
            <w:r w:rsidRPr="56C043C7" w:rsidR="2F078CA3"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35D5DD0" w:rsidP="635D5DD0" w:rsidRDefault="635D5DD0" w14:paraId="0488F344" w14:textId="0F4BC61E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56C043C7" w:rsidTr="56C043C7" w14:paraId="0A240FDA">
        <w:trPr>
          <w:trHeight w:val="2082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956148" w:rsidP="56C043C7" w:rsidRDefault="36956148" w14:paraId="0419142D" w14:textId="79024C44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C296643" w:rsidP="56C043C7" w:rsidRDefault="6C296643" w14:paraId="28A60B9B" w14:textId="656C2B42">
            <w:pPr>
              <w:pStyle w:val="Normal"/>
              <w:spacing w:line="240" w:lineRule="auto"/>
              <w:rPr>
                <w:rFonts w:cs="Calibri"/>
              </w:rPr>
            </w:pPr>
            <w:r w:rsidRPr="56C043C7" w:rsidR="6C296643">
              <w:rPr>
                <w:rFonts w:cs="Calibri"/>
              </w:rPr>
              <w:t>[6-06-2023]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956148" w:rsidP="56C043C7" w:rsidRDefault="36956148" w14:paraId="62E43B65" w14:textId="7774A8E2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 xml:space="preserve">Data breach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36956148" w:rsidP="56C043C7" w:rsidRDefault="36956148" w14:paraId="46EC1650" w14:textId="739EABBF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36956148" w:rsidP="56C043C7" w:rsidRDefault="36956148" w14:paraId="3BE7AEB3" w14:textId="4CBA67E0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956148" w:rsidP="56C043C7" w:rsidRDefault="36956148" w14:paraId="20839DC5" w14:textId="6A8A5846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>Very 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956148" w:rsidP="56C043C7" w:rsidRDefault="36956148" w14:paraId="1B18FFB3" w14:textId="40C75463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>Senior Developer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956148" w:rsidP="56C043C7" w:rsidRDefault="36956148" w14:paraId="099F42AD" w14:textId="3ABFF8BC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 xml:space="preserve">To make sure all information is </w:t>
            </w:r>
            <w:r w:rsidRPr="56C043C7" w:rsidR="381B9B20">
              <w:rPr>
                <w:rFonts w:cs="Calibri"/>
              </w:rPr>
              <w:t>secure</w:t>
            </w:r>
            <w:r w:rsidRPr="56C043C7" w:rsidR="36956148">
              <w:rPr>
                <w:rFonts w:cs="Calibri"/>
              </w:rPr>
              <w:t xml:space="preserve"> and</w:t>
            </w:r>
            <w:r w:rsidRPr="56C043C7" w:rsidR="696A9C2C">
              <w:rPr>
                <w:rFonts w:cs="Calibri"/>
              </w:rPr>
              <w:t xml:space="preserve"> safe so that none </w:t>
            </w:r>
            <w:r w:rsidRPr="56C043C7" w:rsidR="289838BB">
              <w:rPr>
                <w:rFonts w:cs="Calibri"/>
              </w:rPr>
              <w:t>their</w:t>
            </w:r>
            <w:r w:rsidRPr="56C043C7" w:rsidR="696A9C2C">
              <w:rPr>
                <w:rFonts w:cs="Calibri"/>
              </w:rPr>
              <w:t xml:space="preserve"> </w:t>
            </w:r>
            <w:r w:rsidRPr="56C043C7" w:rsidR="7059E9ED">
              <w:rPr>
                <w:rFonts w:cs="Calibri"/>
              </w:rPr>
              <w:t>privacy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C303861" w:rsidP="56C043C7" w:rsidRDefault="4C303861" w14:paraId="42C9F611" w14:textId="24B9C82A">
            <w:pPr>
              <w:pStyle w:val="Normal"/>
              <w:rPr>
                <w:rFonts w:cs="Calibri"/>
              </w:rPr>
            </w:pPr>
            <w:r w:rsidRPr="56C043C7" w:rsidR="4C303861"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6C043C7" w:rsidP="56C043C7" w:rsidRDefault="56C043C7" w14:paraId="13CB72FF" w14:textId="1B3D4D40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56C043C7" w:rsidTr="56C043C7" w14:paraId="44BB7E83">
        <w:trPr>
          <w:trHeight w:val="2082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956148" w:rsidP="56C043C7" w:rsidRDefault="36956148" w14:paraId="75E26695" w14:textId="6CC1DA37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12387C" w:rsidP="56C043C7" w:rsidRDefault="0312387C" w14:paraId="11C41278" w14:textId="5FE4225F">
            <w:pPr>
              <w:pStyle w:val="Normal"/>
              <w:spacing w:line="240" w:lineRule="auto"/>
              <w:rPr>
                <w:rFonts w:cs="Calibri"/>
              </w:rPr>
            </w:pPr>
            <w:r w:rsidRPr="56C043C7" w:rsidR="0312387C">
              <w:rPr>
                <w:rFonts w:cs="Calibri"/>
              </w:rPr>
              <w:t>[7-06-2023]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5F9718" w:rsidP="56C043C7" w:rsidRDefault="365F9718" w14:paraId="4A46732F" w14:textId="6FFAAE56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5F9718">
              <w:rPr>
                <w:rFonts w:cs="Calibri"/>
              </w:rPr>
              <w:t xml:space="preserve">No stock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365F9718" w:rsidP="56C043C7" w:rsidRDefault="365F9718" w14:paraId="68E4967F" w14:textId="410DC271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5F9718">
              <w:rPr>
                <w:rFonts w:cs="Calibri"/>
              </w:rPr>
              <w:t xml:space="preserve">Low 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365F9718" w:rsidP="56C043C7" w:rsidRDefault="365F9718" w14:paraId="74370DCF" w14:textId="7A8BC090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5F9718"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5F9718" w:rsidP="56C043C7" w:rsidRDefault="365F9718" w14:paraId="31FF65E5" w14:textId="791918D8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5F9718">
              <w:rPr>
                <w:rFonts w:cs="Calibri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5F9718" w:rsidP="56C043C7" w:rsidRDefault="365F9718" w14:paraId="5D8EFD56" w14:textId="014CF74F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5F9718">
              <w:rPr>
                <w:rFonts w:cs="Calibri"/>
              </w:rPr>
              <w:t>Suppliers</w:t>
            </w:r>
            <w:r w:rsidRPr="56C043C7" w:rsidR="365F9718">
              <w:rPr>
                <w:rFonts w:cs="Calibri"/>
              </w:rPr>
              <w:t xml:space="preserve">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5F9718" w:rsidP="56C043C7" w:rsidRDefault="365F9718" w14:paraId="63E937CB" w14:textId="0091A7C8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5F9718">
              <w:rPr>
                <w:rFonts w:cs="Calibri"/>
              </w:rPr>
              <w:t xml:space="preserve">If one item has no stock that </w:t>
            </w:r>
            <w:r w:rsidRPr="56C043C7" w:rsidR="365F9718">
              <w:rPr>
                <w:rFonts w:cs="Calibri"/>
              </w:rPr>
              <w:t>isn't</w:t>
            </w:r>
            <w:r w:rsidRPr="56C043C7" w:rsidR="365F9718">
              <w:rPr>
                <w:rFonts w:cs="Calibri"/>
              </w:rPr>
              <w:t xml:space="preserve"> as bad as all items having no stock so to make sure we are stocked up and to call the supplier if we need any stock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1AAD4F8" w:rsidP="56C043C7" w:rsidRDefault="41AAD4F8" w14:paraId="780CAAD4" w14:textId="5082113E">
            <w:pPr>
              <w:pStyle w:val="Normal"/>
              <w:rPr>
                <w:rFonts w:cs="Calibri"/>
              </w:rPr>
            </w:pPr>
            <w:r w:rsidRPr="56C043C7" w:rsidR="41AAD4F8"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6C043C7" w:rsidP="56C043C7" w:rsidRDefault="56C043C7" w14:paraId="6D8341B5" w14:textId="5FD74C56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56C043C7" w:rsidTr="56C043C7" w14:paraId="27D111AA">
        <w:trPr>
          <w:trHeight w:val="2082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6956148" w:rsidP="56C043C7" w:rsidRDefault="36956148" w14:paraId="620460C3" w14:textId="65DFD552">
            <w:pPr>
              <w:pStyle w:val="Normal"/>
              <w:spacing w:line="240" w:lineRule="auto"/>
              <w:rPr>
                <w:rFonts w:cs="Calibri"/>
              </w:rPr>
            </w:pPr>
            <w:r w:rsidRPr="56C043C7" w:rsidR="36956148">
              <w:rPr>
                <w:rFonts w:cs="Calibri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1EB49DC" w:rsidP="56C043C7" w:rsidRDefault="31EB49DC" w14:paraId="34D87D64" w14:textId="15E88F96">
            <w:pPr>
              <w:pStyle w:val="Normal"/>
              <w:spacing w:line="240" w:lineRule="auto"/>
              <w:rPr>
                <w:rFonts w:cs="Calibri"/>
              </w:rPr>
            </w:pPr>
            <w:r w:rsidRPr="56C043C7" w:rsidR="31EB49DC">
              <w:rPr>
                <w:rFonts w:cs="Calibri"/>
              </w:rPr>
              <w:t>[7-06-2023]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D118EC" w:rsidP="56C043C7" w:rsidRDefault="1DD118EC" w14:paraId="260D05CD" w14:textId="53460239">
            <w:pPr>
              <w:pStyle w:val="Normal"/>
              <w:spacing w:line="240" w:lineRule="auto"/>
              <w:rPr>
                <w:rFonts w:cs="Calibri"/>
              </w:rPr>
            </w:pPr>
            <w:r w:rsidRPr="56C043C7" w:rsidR="1DD118EC">
              <w:rPr>
                <w:rFonts w:cs="Calibri"/>
              </w:rPr>
              <w:t>Copyright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1DD118EC" w:rsidP="56C043C7" w:rsidRDefault="1DD118EC" w14:paraId="76FB8CAC" w14:textId="38FA11D0">
            <w:pPr>
              <w:pStyle w:val="Normal"/>
              <w:spacing w:line="240" w:lineRule="auto"/>
              <w:rPr>
                <w:rFonts w:cs="Calibri"/>
              </w:rPr>
            </w:pPr>
            <w:r w:rsidRPr="56C043C7" w:rsidR="1DD118EC"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1DD118EC" w:rsidP="56C043C7" w:rsidRDefault="1DD118EC" w14:paraId="0D2A7D9B" w14:textId="458772C9">
            <w:pPr>
              <w:pStyle w:val="Normal"/>
              <w:spacing w:line="240" w:lineRule="auto"/>
              <w:rPr>
                <w:rFonts w:cs="Calibri"/>
              </w:rPr>
            </w:pPr>
            <w:r w:rsidRPr="56C043C7" w:rsidR="1DD118EC"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D118EC" w:rsidP="56C043C7" w:rsidRDefault="1DD118EC" w14:paraId="662022C5" w14:textId="1E53477A">
            <w:pPr>
              <w:pStyle w:val="Normal"/>
              <w:spacing w:line="240" w:lineRule="auto"/>
              <w:rPr>
                <w:rFonts w:cs="Calibri"/>
              </w:rPr>
            </w:pPr>
            <w:r w:rsidRPr="56C043C7" w:rsidR="1DD118EC"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D118EC" w:rsidP="56C043C7" w:rsidRDefault="1DD118EC" w14:paraId="24A671B2" w14:textId="36836A2C">
            <w:pPr>
              <w:pStyle w:val="Normal"/>
              <w:spacing w:line="240" w:lineRule="auto"/>
              <w:rPr>
                <w:rFonts w:cs="Calibri"/>
              </w:rPr>
            </w:pPr>
            <w:r w:rsidRPr="56C043C7" w:rsidR="1DD118EC">
              <w:rPr>
                <w:rFonts w:cs="Calibri"/>
              </w:rPr>
              <w:t>Senior Designer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D118EC" w:rsidP="56C043C7" w:rsidRDefault="1DD118EC" w14:paraId="5906332A" w14:textId="2A140098">
            <w:pPr>
              <w:pStyle w:val="Normal"/>
              <w:spacing w:line="240" w:lineRule="auto"/>
              <w:rPr>
                <w:rFonts w:cs="Calibri"/>
              </w:rPr>
            </w:pPr>
            <w:r w:rsidRPr="56C043C7" w:rsidR="1DD118EC">
              <w:rPr>
                <w:rFonts w:cs="Calibri"/>
              </w:rPr>
              <w:t xml:space="preserve">If an image is covered by </w:t>
            </w:r>
            <w:r w:rsidRPr="56C043C7" w:rsidR="1DD118EC">
              <w:rPr>
                <w:rFonts w:cs="Calibri"/>
              </w:rPr>
              <w:t>copyright,</w:t>
            </w:r>
            <w:r w:rsidRPr="56C043C7" w:rsidR="1DD118EC">
              <w:rPr>
                <w:rFonts w:cs="Calibri"/>
              </w:rPr>
              <w:t xml:space="preserve"> then make sure the file has citations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DD118EC" w:rsidP="56C043C7" w:rsidRDefault="1DD118EC" w14:paraId="7BAD5B91" w14:textId="57C85A53">
            <w:pPr>
              <w:pStyle w:val="Normal"/>
              <w:rPr>
                <w:rFonts w:cs="Calibri"/>
              </w:rPr>
            </w:pPr>
            <w:r w:rsidRPr="56C043C7" w:rsidR="1DD118EC"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6C043C7" w:rsidP="56C043C7" w:rsidRDefault="56C043C7" w14:paraId="4FE41D7C" w14:textId="07874F8C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</w:tbl>
    <w:sectPr w:rsidRPr="00010558" w:rsidR="007F5382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312387C"/>
    <w:rsid w:val="0B64C56B"/>
    <w:rsid w:val="0C221337"/>
    <w:rsid w:val="0C9F8008"/>
    <w:rsid w:val="0E55E51F"/>
    <w:rsid w:val="0FF1B580"/>
    <w:rsid w:val="118340B2"/>
    <w:rsid w:val="1765A4F4"/>
    <w:rsid w:val="1B5E1187"/>
    <w:rsid w:val="1DD118EC"/>
    <w:rsid w:val="23BFC5E3"/>
    <w:rsid w:val="25B5E503"/>
    <w:rsid w:val="265C5EDA"/>
    <w:rsid w:val="289838BB"/>
    <w:rsid w:val="2D0FCD04"/>
    <w:rsid w:val="2F078CA3"/>
    <w:rsid w:val="31EB49DC"/>
    <w:rsid w:val="3524E5A7"/>
    <w:rsid w:val="353B2447"/>
    <w:rsid w:val="365F9718"/>
    <w:rsid w:val="36956148"/>
    <w:rsid w:val="37E9D986"/>
    <w:rsid w:val="381B9B20"/>
    <w:rsid w:val="3985A9E7"/>
    <w:rsid w:val="41AAD4F8"/>
    <w:rsid w:val="41CC646F"/>
    <w:rsid w:val="4516E06C"/>
    <w:rsid w:val="461772CE"/>
    <w:rsid w:val="48C5BD2A"/>
    <w:rsid w:val="4BBDD303"/>
    <w:rsid w:val="4C303861"/>
    <w:rsid w:val="4C905136"/>
    <w:rsid w:val="5012FCBB"/>
    <w:rsid w:val="56C043C7"/>
    <w:rsid w:val="58F0BBB0"/>
    <w:rsid w:val="5C98F01D"/>
    <w:rsid w:val="5E7AE65D"/>
    <w:rsid w:val="5EBED7B5"/>
    <w:rsid w:val="5EE0EC2D"/>
    <w:rsid w:val="635D5DD0"/>
    <w:rsid w:val="65CC87E9"/>
    <w:rsid w:val="685A7BEE"/>
    <w:rsid w:val="696A9C2C"/>
    <w:rsid w:val="6AAA9D61"/>
    <w:rsid w:val="6C296643"/>
    <w:rsid w:val="6C466DC2"/>
    <w:rsid w:val="6F6868E4"/>
    <w:rsid w:val="7059E9ED"/>
    <w:rsid w:val="753F8023"/>
    <w:rsid w:val="75A095E7"/>
    <w:rsid w:val="773C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5D34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paragraph" w:customStyle="1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stakeholdermap.com/project-templates/business-case-template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Sadler James Alec</lastModifiedBy>
  <revision>6</revision>
  <dcterms:created xsi:type="dcterms:W3CDTF">2021-06-16T02:44:00.0000000Z</dcterms:created>
  <dcterms:modified xsi:type="dcterms:W3CDTF">2023-06-07T03:21:11.8693143Z</dcterms:modified>
</coreProperties>
</file>