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3.png" ContentType="image/png"/>
  <Override PartName="/word/media/rId34.png" ContentType="image/png"/>
  <Override PartName="/word/media/rId3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c6cd90aa9049e3932efc1565eaca4031ddf35a4"/>
    <w:p>
      <w:pPr>
        <w:pStyle w:val="Heading1"/>
      </w:pPr>
      <w:r>
        <w:t xml:space="preserve">Does a Domain-Specific BPE Tokenizer Improve In-Domain Language Modeling? An Evaluation on Medical Text</w:t>
      </w:r>
    </w:p>
    <w:p>
      <w:pPr>
        <w:pStyle w:val="FirstParagraph"/>
      </w:pPr>
      <w:r>
        <w:rPr>
          <w:bCs/>
          <w:b/>
        </w:rPr>
        <w:t xml:space="preserve">Samih Amer</w:t>
      </w:r>
      <w:r>
        <w:t xml:space="preserve"> </w:t>
      </w:r>
      <w:r>
        <w:t xml:space="preserve">— Individual project — GPT-from-Scratch course, final project</w:t>
      </w:r>
      <w:r>
        <w:t xml:space="preserve"> </w:t>
      </w:r>
      <w:r>
        <w:t xml:space="preserve">Date: 2026-04-21</w:t>
      </w:r>
      <w:r>
        <w:t xml:space="preserve"> </w:t>
      </w:r>
      <w:r>
        <w:t xml:space="preserve">Code and artifacts:</w:t>
      </w:r>
      <w:r>
        <w:t xml:space="preserve"> </w:t>
      </w:r>
      <w:r>
        <w:rPr>
          <w:rStyle w:val="VerbatimChar"/>
        </w:rPr>
        <w:t xml:space="preserve">ChatGPT-from-Scratch-/Project/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Tokenization is the first transformation applied to text before an LLM ever sees it, and it quietly constrains what the model can learn: any word that is not represented as a single token must be learned as a sequence of subwords, and any linguistic unit the tokenizer fails to respect becomes a unit the model has to reconstruct from pieces. Medical text is unusually dense with specialized terminology (</w:t>
      </w:r>
      <w:r>
        <w:rPr>
          <w:rStyle w:val="VerbatimChar"/>
        </w:rPr>
        <w:t xml:space="preserve">cholecystectomy</w:t>
      </w:r>
      <w:r>
        <w:t xml:space="preserve">,</w:t>
      </w:r>
      <w:r>
        <w:t xml:space="preserve"> </w:t>
      </w:r>
      <w:r>
        <w:rPr>
          <w:rStyle w:val="VerbatimChar"/>
        </w:rPr>
        <w:t xml:space="preserve">laparoscopic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pneumonia</w:t>
      </w:r>
      <w:r>
        <w:t xml:space="preserve">,</w:t>
      </w:r>
      <w:r>
        <w:t xml:space="preserve"> </w:t>
      </w:r>
      <w:r>
        <w:rPr>
          <w:rStyle w:val="VerbatimChar"/>
        </w:rPr>
        <w:t xml:space="preserve">hypertension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intraoperative</w:t>
      </w:r>
      <w:r>
        <w:t xml:space="preserve">) that a general-purpose tokenizer trained on web text splits into 4–6 subwords each, even though each of these is a single, semantically unified clinical concept.</w:t>
      </w:r>
    </w:p>
    <w:p>
      <w:pPr>
        <w:pStyle w:val="BodyText"/>
      </w:pPr>
      <w:r>
        <w:t xml:space="preserve">This project asks a straightforward question:</w:t>
      </w:r>
      <w:r>
        <w:t xml:space="preserve"> </w:t>
      </w:r>
      <w:r>
        <w:rPr>
          <w:bCs/>
          <w:b/>
        </w:rPr>
        <w:t xml:space="preserve">if we swap in a BPE tokenizer trained on medical text, while holding every other aspect of the model and training pipeline fixed, how does the model’s held-out performance change on (a) in-domain medical text, (b) out-of-domain general text, and (c) cross-domain medical text?</w:t>
      </w:r>
      <w:r>
        <w:t xml:space="preserve"> </w:t>
      </w:r>
      <w:r>
        <w:t xml:space="preserve">I trained two otherwise-identical 29M-parameter GPT models on the same 100k PubMed abstracts — one using a general BPE tokenizer trained on wikitext-103, the other using a medical BPE tokenizer trained on the same PubMed corpus — and evaluated both against three held-out corpora using bits-per-character (BPC), the only cross-tokenizer-comparable metric.</w:t>
      </w:r>
    </w:p>
    <w:p>
      <w:pPr>
        <w:pStyle w:val="BodyText"/>
      </w:pPr>
      <w:r>
        <w:rPr>
          <w:bCs/>
          <w:b/>
        </w:rPr>
        <w:t xml:space="preserve">Key results.</w:t>
      </w:r>
      <w:r>
        <w:t xml:space="preserve"> </w:t>
      </w:r>
      <w:r>
        <w:t xml:space="preserve">With identical training compute and proper convergence (2 epochs), the medical tokenizer produces a consistent in-domain BPC advantage — 0.010 bits/char lower on held-out PubMed at matched text exposure, widening to 0.031 bits/char at matched compute. The advantage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transfer to another medical sub-genre (MTSamples clinical transcripts), where the general tokenizer outperforms the medical model by ~0.48 BPC, nor to general English (wikitext), where the gap is ~0.95 BPC in favor of general. A 1-epoch pilot under-stated the medical tokenizer’s advantage because the cosine learning-rate schedule collapsed prematurely and general under-converged in a way that temporarily depressed its held-out BPC; this motivated the 2-epoch rerun reported here.</w:t>
      </w:r>
    </w:p>
    <w:p>
      <w:pPr>
        <w:pStyle w:val="BodyText"/>
      </w:pPr>
      <w:r>
        <w:t xml:space="preserve">The headline finding:</w:t>
      </w:r>
      <w:r>
        <w:t xml:space="preserve"> </w:t>
      </w:r>
      <w:r>
        <w:rPr>
          <w:bCs/>
          <w:b/>
        </w:rPr>
        <w:t xml:space="preserve">domain-specific tokenization is a real but narrow win.</w:t>
      </w:r>
      <w:r>
        <w:t xml:space="preserve"> </w:t>
      </w:r>
      <w:r>
        <w:t xml:space="preserve">It helps the specific register it was trained on; it hurts everything else.</w:t>
      </w:r>
    </w:p>
    <w:p>
      <w:r>
        <w:pict>
          <v:rect style="width:0;height:1.5pt" o:hralign="center" o:hrstd="t" o:hr="t"/>
        </w:pict>
      </w:r>
    </w:p>
    <w:bookmarkEnd w:id="20"/>
    <w:bookmarkStart w:id="24" w:name="background"/>
    <w:p>
      <w:pPr>
        <w:pStyle w:val="Heading2"/>
      </w:pPr>
      <w:r>
        <w:t xml:space="preserve">2. Background</w:t>
      </w:r>
    </w:p>
    <w:bookmarkStart w:id="21" w:name="the-gpt-model-briefly"/>
    <w:p>
      <w:pPr>
        <w:pStyle w:val="Heading3"/>
      </w:pPr>
      <w:r>
        <w:t xml:space="preserve">2.1 The GPT model, briefly</w:t>
      </w:r>
    </w:p>
    <w:p>
      <w:pPr>
        <w:pStyle w:val="FirstParagraph"/>
      </w:pPr>
      <w:r>
        <w:t xml:space="preserve">A decoder-only transformer (Vaswani et al. 2017; Radford et al. 2018) maps a sequence of tokens to a probability distribution over the next token, autoregressively. Each layer applies causal multi-head self-attention followed by a feed-forward block; pre-LayerNorm is standard for stability (</w:t>
      </w:r>
      <w:r>
        <w:rPr>
          <w:rStyle w:val="VerbatimChar"/>
        </w:rPr>
        <w:t xml:space="preserve">LN -&gt; MHA -&gt; +</w:t>
      </w:r>
      <w:r>
        <w:t xml:space="preserve">,</w:t>
      </w:r>
      <w:r>
        <w:t xml:space="preserve"> </w:t>
      </w:r>
      <w:r>
        <w:rPr>
          <w:rStyle w:val="VerbatimChar"/>
        </w:rPr>
        <w:t xml:space="preserve">LN -&gt; FC -&gt; ReLU -&gt; FC -&gt; +</w:t>
      </w:r>
      <w:r>
        <w:t xml:space="preserve">). Training minimises cross-entropy of the predicted distribution against the next-token targets. The model used here is the Module 6 implementation: 6 layers, 8 heads,</w:t>
      </w:r>
      <w:r>
        <w:t xml:space="preserve"> </w:t>
      </w:r>
      <w:r>
        <w:rPr>
          <w:rStyle w:val="VerbatimChar"/>
        </w:rPr>
        <w:t xml:space="preserve">d_model=512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max_seq_len=256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vocab_size=10,000</w:t>
      </w:r>
      <w:r>
        <w:t xml:space="preserve">, ~29.3M parameters.</w:t>
      </w:r>
    </w:p>
    <w:bookmarkEnd w:id="21"/>
    <w:bookmarkStart w:id="22" w:name="bpe-tokenization"/>
    <w:p>
      <w:pPr>
        <w:pStyle w:val="Heading3"/>
      </w:pPr>
      <w:r>
        <w:t xml:space="preserve">2.2 BPE tokenization</w:t>
      </w:r>
    </w:p>
    <w:p>
      <w:pPr>
        <w:pStyle w:val="FirstParagraph"/>
      </w:pPr>
      <w:r>
        <w:t xml:space="preserve">Byte-Pair Encoding (Sennrich et al. 2016) starts from a byte-level alphabet and iteratively merges the most frequent adjacent symbol pairs in a training corpus until it has built up a vocabulary of the target size (here, 10,000). The resulting vocabulary is a fixed inventory of frequent subword sequences — common whole words, frequent suffixes, byte-level fallback for anything else.</w:t>
      </w:r>
      <w:r>
        <w:t xml:space="preserve"> </w:t>
      </w:r>
      <w:r>
        <w:rPr>
          <w:bCs/>
          <w:b/>
        </w:rPr>
        <w:t xml:space="preserve">The training corpus determines which merges are profitable.</w:t>
      </w:r>
      <w:r>
        <w:t xml:space="preserve"> </w:t>
      </w:r>
      <w:r>
        <w:t xml:space="preserve">A BPE trained on wikitext sees</w:t>
      </w:r>
      <w:r>
        <w:t xml:space="preserve"> </w:t>
      </w:r>
      <w:r>
        <w:rPr>
          <w:rStyle w:val="VerbatimChar"/>
        </w:rPr>
        <w:t xml:space="preserve">the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tion</w:t>
      </w:r>
      <w:r>
        <w:t xml:space="preserve"> </w:t>
      </w:r>
      <w:r>
        <w:t xml:space="preserve">as high-utility merges; a BPE trained on PubMed sees</w:t>
      </w:r>
      <w:r>
        <w:t xml:space="preserve"> </w:t>
      </w:r>
      <w:r>
        <w:rPr>
          <w:rStyle w:val="VerbatimChar"/>
        </w:rPr>
        <w:t xml:space="preserve">cellular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cholecystectomy</w:t>
      </w:r>
      <w:r>
        <w:t xml:space="preserve"> </w:t>
      </w:r>
      <w:r>
        <w:t xml:space="preserve">as high-utility merges. Same algorithm, same vocabulary size — different vocabulary</w:t>
      </w:r>
      <w:r>
        <w:t xml:space="preserve"> </w:t>
      </w:r>
      <w:r>
        <w:rPr>
          <w:iCs/>
          <w:i/>
        </w:rPr>
        <w:t xml:space="preserve">contents</w:t>
      </w:r>
      <w:r>
        <w:t xml:space="preserve">.</w:t>
      </w:r>
    </w:p>
    <w:bookmarkEnd w:id="22"/>
    <w:bookmarkStart w:id="23" w:name="X2509c8744f0b35148f2b4d41594fcbf31287c8a"/>
    <w:p>
      <w:pPr>
        <w:pStyle w:val="Heading3"/>
      </w:pPr>
      <w:r>
        <w:t xml:space="preserve">2.3 Why per-token perplexity cannot compare tokenizers</w:t>
      </w:r>
    </w:p>
    <w:p>
      <w:pPr>
        <w:pStyle w:val="FirstParagraph"/>
      </w:pPr>
      <w:r>
        <w:t xml:space="preserve">Perplexity is the exponential of average cross-entropy per token. If tokenizer A represents a document in 100 tokens and tokenizer B represents it in 200 tokens, a per-token loss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means very different things in each case — B’s tokens are easier to predict because each one carries less information. BPC —</w:t>
      </w:r>
      <w:r>
        <w:t xml:space="preserve"> </w:t>
      </w:r>
      <w:r>
        <w:rPr>
          <w:rStyle w:val="VerbatimChar"/>
        </w:rPr>
        <w:t xml:space="preserve">(log2(e) * CE * num_tokens) / num_chars</w:t>
      </w:r>
      <w:r>
        <w:t xml:space="preserve"> </w:t>
      </w:r>
      <w:r>
        <w:t xml:space="preserve">— normalizes to characters of raw text and is therefore comparable across tokenizers. BPC is the primary metric throughout this report.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methods"/>
    <w:p>
      <w:pPr>
        <w:pStyle w:val="Heading2"/>
      </w:pPr>
      <w:r>
        <w:t xml:space="preserve">3. Methods</w:t>
      </w:r>
    </w:p>
    <w:bookmarkStart w:id="25" w:name="experimental-design"/>
    <w:p>
      <w:pPr>
        <w:pStyle w:val="Heading3"/>
      </w:pPr>
      <w:r>
        <w:t xml:space="preserve">3.1 Experimental design</w:t>
      </w:r>
    </w:p>
    <w:p>
      <w:pPr>
        <w:pStyle w:val="FirstParagraph"/>
      </w:pPr>
      <w:r>
        <w:t xml:space="preserve">The only variable I change is the tokenizer. Both GPT runs use the identical architecture, optimizer, learning-rate schedule, batch size, gradient clip, and training corpus (raw PubMed abstracts). Tables 1 and 2 summarise the setup.</w:t>
      </w:r>
    </w:p>
    <w:p>
      <w:pPr>
        <w:pStyle w:val="BodyText"/>
      </w:pPr>
      <w:r>
        <w:rPr>
          <w:bCs/>
          <w:b/>
        </w:rPr>
        <w:t xml:space="preserve">Table 1 — Shared model and training config.</w:t>
      </w:r>
      <w:r>
        <w:t xml:space="preserve"> </w:t>
      </w:r>
      <w:r>
        <w:t xml:space="preserve">| Setting | Value |</w:t>
      </w:r>
      <w:r>
        <w:t xml:space="preserve"> </w:t>
      </w:r>
      <w:r>
        <w:t xml:space="preserve">|—|—|</w:t>
      </w:r>
      <w:r>
        <w:t xml:space="preserve"> </w:t>
      </w:r>
      <w:r>
        <w:t xml:space="preserve">| Architecture | Pre-LN GPT, custom causal MHA with fused QKV |</w:t>
      </w:r>
      <w:r>
        <w:t xml:space="preserve"> </w:t>
      </w:r>
      <w:r>
        <w:t xml:space="preserve">| d_model / n_heads / layers | 512 / 8 / 6 |</w:t>
      </w:r>
      <w:r>
        <w:t xml:space="preserve"> </w:t>
      </w:r>
      <w:r>
        <w:t xml:space="preserve">| vocab_size / max_seq_len | 10,000 / 256 |</w:t>
      </w:r>
      <w:r>
        <w:t xml:space="preserve"> </w:t>
      </w:r>
      <w:r>
        <w:t xml:space="preserve">| Params | 29,283,088 |</w:t>
      </w:r>
      <w:r>
        <w:t xml:space="preserve"> </w:t>
      </w:r>
      <w:r>
        <w:t xml:space="preserve">| Optimizer | AdamW, lr=3e-4, warmup=500, cosine decay to 10% of peak |</w:t>
      </w:r>
      <w:r>
        <w:t xml:space="preserve"> </w:t>
      </w:r>
      <w:r>
        <w:t xml:space="preserve">| Batch size / grad clip | 32 / 1.0 |</w:t>
      </w:r>
      <w:r>
        <w:t xml:space="preserve"> </w:t>
      </w:r>
      <w:r>
        <w:t xml:space="preserve">| Epochs | 2 (1-epoch pilot also reported) |</w:t>
      </w:r>
    </w:p>
    <w:p>
      <w:pPr>
        <w:pStyle w:val="BodyText"/>
      </w:pPr>
      <w:r>
        <w:rPr>
          <w:bCs/>
          <w:b/>
        </w:rPr>
        <w:t xml:space="preserve">Table 2 — Tokenizers.</w:t>
      </w:r>
      <w:r>
        <w:t xml:space="preserve"> </w:t>
      </w:r>
      <w:r>
        <w:t xml:space="preserve">HuggingFace byte-level BPE,</w:t>
      </w:r>
      <w:r>
        <w:t xml:space="preserve"> </w:t>
      </w:r>
      <w:r>
        <w:rPr>
          <w:rStyle w:val="VerbatimChar"/>
        </w:rPr>
        <w:t xml:space="preserve">vocab_size=10,000</w:t>
      </w:r>
      <w:r>
        <w:t xml:space="preserve">, both reached ~9,743 merges.</w:t>
      </w:r>
      <w:r>
        <w:t xml:space="preserve"> </w:t>
      </w:r>
      <w:r>
        <w:t xml:space="preserve">| Tokenizer | Training corpus | Artifact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 </w:t>
      </w:r>
      <w:r>
        <w:t xml:space="preserve">| wikitext-103 train (129k lines) |</w:t>
      </w:r>
      <w:r>
        <w:t xml:space="preserve"> </w:t>
      </w:r>
      <w:r>
        <w:rPr>
          <w:rStyle w:val="VerbatimChar"/>
        </w:rPr>
        <w:t xml:space="preserve">artifacts/tokenizers/general/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medical</w:t>
      </w:r>
      <w:r>
        <w:t xml:space="preserve"> </w:t>
      </w:r>
      <w:r>
        <w:t xml:space="preserve">| PubMed abstracts (100k docs) |</w:t>
      </w:r>
      <w:r>
        <w:t xml:space="preserve"> </w:t>
      </w:r>
      <w:r>
        <w:rPr>
          <w:rStyle w:val="VerbatimChar"/>
        </w:rPr>
        <w:t xml:space="preserve">artifacts/tokenizers/medical/</w:t>
      </w:r>
      <w:r>
        <w:t xml:space="preserve"> </w:t>
      </w:r>
      <w:r>
        <w:t xml:space="preserve">|</w:t>
      </w:r>
    </w:p>
    <w:bookmarkEnd w:id="25"/>
    <w:bookmarkStart w:id="26" w:name="datasets"/>
    <w:p>
      <w:pPr>
        <w:pStyle w:val="Heading3"/>
      </w:pPr>
      <w:r>
        <w:t xml:space="preserve">3.2 Datasets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 corpus (shared):</w:t>
      </w:r>
      <w:r>
        <w:t xml:space="preserve"> </w:t>
      </w:r>
      <w:r>
        <w:t xml:space="preserve">100,000 PubMed abstracts (~122M chars). Source:</w:t>
      </w:r>
      <w:r>
        <w:t xml:space="preserve"> </w:t>
      </w:r>
      <w:r>
        <w:rPr>
          <w:rStyle w:val="VerbatimChar"/>
        </w:rPr>
        <w:t xml:space="preserve">ccdv/pubmed-summarization</w:t>
      </w:r>
      <w:r>
        <w:t xml:space="preserve"> </w:t>
      </w:r>
      <w:r>
        <w:t xml:space="preserve">via HuggingFace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In-domain eval:</w:t>
      </w:r>
      <w:r>
        <w:t xml:space="preserve"> </w:t>
      </w:r>
      <w:r>
        <w:t xml:space="preserve">2,000 held-out PubMed abstracts.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Out-of-domain eval:</w:t>
      </w:r>
      <w:r>
        <w:t xml:space="preserve"> </w:t>
      </w:r>
      <w:r>
        <w:t xml:space="preserve">1,298 wikitext-103 validation 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Cross-domain medical eval:</w:t>
      </w:r>
      <w:r>
        <w:t xml:space="preserve"> </w:t>
      </w:r>
      <w:r>
        <w:t xml:space="preserve">4,966 MTSamples clinical transcripts (SOAP notes, operative reports, discharge summaries). Source:</w:t>
      </w:r>
      <w:r>
        <w:t xml:space="preserve"> </w:t>
      </w:r>
      <w:r>
        <w:rPr>
          <w:rStyle w:val="VerbatimChar"/>
        </w:rPr>
        <w:t xml:space="preserve">tchebonenko/MedicalTranscriptions</w:t>
      </w:r>
      <w:r>
        <w:t xml:space="preserve">.</w:t>
      </w:r>
    </w:p>
    <w:p>
      <w:pPr>
        <w:pStyle w:val="FirstParagraph"/>
      </w:pPr>
      <w:r>
        <w:t xml:space="preserve">MTSamples provides a useful control: it is also medical, but in a very different register (conversational clinical dictation) from PubMed (formal academic prose). If the medical tokenizer’s advantage is about</w:t>
      </w:r>
      <w:r>
        <w:t xml:space="preserve"> </w:t>
      </w:r>
      <w:r>
        <w:t xml:space="preserve">“</w:t>
      </w:r>
      <w:r>
        <w:t xml:space="preserve">medical text</w:t>
      </w:r>
      <w:r>
        <w:t xml:space="preserve">”</w:t>
      </w:r>
      <w:r>
        <w:t xml:space="preserve"> </w:t>
      </w:r>
      <w:r>
        <w:t xml:space="preserve">in general, we should see transfer; if it is about PubMed’s specific register, we should not.</w:t>
      </w:r>
    </w:p>
    <w:bookmarkEnd w:id="26"/>
    <w:bookmarkStart w:id="27" w:name="two-fairness-frames"/>
    <w:p>
      <w:pPr>
        <w:pStyle w:val="Heading3"/>
      </w:pPr>
      <w:r>
        <w:t xml:space="preserve">3.3 Two fairness frames</w:t>
      </w:r>
    </w:p>
    <w:p>
      <w:pPr>
        <w:pStyle w:val="FirstParagraph"/>
      </w:pPr>
      <w:r>
        <w:t xml:space="preserve">A tokenizer that packs more characters per token will, for a fixed training corpus, produce fewer training tokens — and therefore fewer gradient updates per epoch at fixed batch size. This is the phenomenon being studied, but it forces a choice between: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 1 — same compute (same step count).</w:t>
      </w:r>
      <w:r>
        <w:t xml:space="preserve"> </w:t>
      </w:r>
      <w:r>
        <w:t xml:space="preserve">The medical tokenizer sees more raw text than general for an equal number of gradient updates. Fair at matched compute budget.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 2 — same text exposure (one epoch each).</w:t>
      </w:r>
      <w:r>
        <w:t xml:space="preserve"> </w:t>
      </w:r>
      <w:r>
        <w:t xml:space="preserve">General runs for more gradient updates than medical because its dataset has more tokens. Fair at matched data exposure.</w:t>
      </w:r>
    </w:p>
    <w:p>
      <w:pPr>
        <w:pStyle w:val="FirstParagraph"/>
      </w:pPr>
      <w:r>
        <w:t xml:space="preserve">Under the 2-epoch regime, medical finishes at step 6,141 (end of its second epoch); general continues to step 7,783. I evaluate three checkpoints:</w:t>
      </w:r>
      <w:r>
        <w:t xml:space="preserve"> </w:t>
      </w:r>
      <w:r>
        <w:rPr>
          <w:rStyle w:val="VerbatimChar"/>
        </w:rPr>
        <w:t xml:space="preserve">general@6141</w:t>
      </w:r>
      <w:r>
        <w:t xml:space="preserve"> </w:t>
      </w:r>
      <w:r>
        <w:t xml:space="preserve">(Option 1),</w:t>
      </w:r>
      <w:r>
        <w:t xml:space="preserve"> </w:t>
      </w:r>
      <w:r>
        <w:rPr>
          <w:rStyle w:val="VerbatimChar"/>
        </w:rPr>
        <w:t xml:space="preserve">general@7783</w:t>
      </w:r>
      <w:r>
        <w:t xml:space="preserve"> </w:t>
      </w:r>
      <w:r>
        <w:t xml:space="preserve">(Option 2), and</w:t>
      </w:r>
      <w:r>
        <w:t xml:space="preserve"> </w:t>
      </w:r>
      <w:r>
        <w:rPr>
          <w:rStyle w:val="VerbatimChar"/>
        </w:rPr>
        <w:t xml:space="preserve">medical@6141</w:t>
      </w:r>
      <w:r>
        <w:t xml:space="preserve">. Loss curves are logged with three x-axes (step / tokens / chars) so any frame can be read off the same data. This follows the PLAN Section 5.2 recommendation.</w:t>
      </w:r>
    </w:p>
    <w:bookmarkEnd w:id="27"/>
    <w:bookmarkStart w:id="28" w:name="evaluation"/>
    <w:p>
      <w:pPr>
        <w:pStyle w:val="Heading3"/>
      </w:pPr>
      <w:r>
        <w:t xml:space="preserve">3.4 Evaluation</w:t>
      </w:r>
    </w:p>
    <w:p>
      <w:pPr>
        <w:pStyle w:val="FirstParagraph"/>
      </w:pPr>
      <w:r>
        <w:t xml:space="preserve">For each (checkpoint, eval corpus) pair, I tokenize the eval text with the corresponding tokenizer, compute the token-level cross-entropy loss under teacher forcing, and convert to BPC using the relation</w:t>
      </w:r>
      <w:r>
        <w:t xml:space="preserve"> </w:t>
      </w:r>
      <w:r>
        <w:rPr>
          <w:rStyle w:val="VerbatimChar"/>
        </w:rPr>
        <w:t xml:space="preserve">BPC = (log2(e) * CE_nats * num_tokens) / num_chars</w:t>
      </w:r>
      <w:r>
        <w:t xml:space="preserve">. Raw perplexity is reported for reference but not used for cross-tokenizer comparison.</w:t>
      </w:r>
    </w:p>
    <w:bookmarkEnd w:id="28"/>
    <w:bookmarkStart w:id="29" w:name="qualitative-generation"/>
    <w:p>
      <w:pPr>
        <w:pStyle w:val="Heading3"/>
      </w:pPr>
      <w:r>
        <w:t xml:space="preserve">3.5 Qualitative generation</w:t>
      </w:r>
    </w:p>
    <w:p>
      <w:pPr>
        <w:pStyle w:val="FirstParagraph"/>
      </w:pPr>
      <w:r>
        <w:t xml:space="preserve">Using the Module 7 sampler (top-p=0.8, freq/presence penalties=1.1), I generated 120-token continuations from a fixed set of six prompts — four medical (</w:t>
      </w:r>
      <w:r>
        <w:rPr>
          <w:rStyle w:val="VerbatimChar"/>
        </w:rPr>
        <w:t xml:space="preserve">"Patient presents with"</w:t>
      </w:r>
      <w:r>
        <w:t xml:space="preserve">,</w:t>
      </w:r>
      <w:r>
        <w:t xml:space="preserve"> </w:t>
      </w:r>
      <w:r>
        <w:rPr>
          <w:rStyle w:val="VerbatimChar"/>
        </w:rPr>
        <w:t xml:space="preserve">"CT of the abdomen shows"</w:t>
      </w:r>
      <w:r>
        <w:t xml:space="preserve">,</w:t>
      </w:r>
      <w:r>
        <w:t xml:space="preserve"> </w:t>
      </w:r>
      <w:r>
        <w:rPr>
          <w:rStyle w:val="VerbatimChar"/>
        </w:rPr>
        <w:t xml:space="preserve">"The patient was administered"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"Postoperative diagnosis:"</w:t>
      </w:r>
      <w:r>
        <w:t xml:space="preserve">), one surgical (</w:t>
      </w:r>
      <w:r>
        <w:rPr>
          <w:rStyle w:val="VerbatimChar"/>
        </w:rPr>
        <w:t xml:space="preserve">"Laparoscopic cholecystectomy was performed"</w:t>
      </w:r>
      <w:r>
        <w:t xml:space="preserve">), and one neutral sanity check (</w:t>
      </w:r>
      <w:r>
        <w:rPr>
          <w:rStyle w:val="VerbatimChar"/>
        </w:rPr>
        <w:t xml:space="preserve">"The quick brown fox"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results"/>
    <w:p>
      <w:pPr>
        <w:pStyle w:val="Heading2"/>
      </w:pPr>
      <w:r>
        <w:t xml:space="preserve">4. Results</w:t>
      </w:r>
    </w:p>
    <w:bookmarkStart w:id="32" w:name="X12f4f4463dbc1c47246628aff7b18fa95d5a09f"/>
    <w:p>
      <w:pPr>
        <w:pStyle w:val="Heading3"/>
      </w:pPr>
      <w:r>
        <w:t xml:space="preserve">4.1 Token efficiency — the tokenizers themselves</w:t>
      </w:r>
    </w:p>
    <w:p>
      <w:pPr>
        <w:pStyle w:val="FirstParagraph"/>
      </w:pPr>
      <w:r>
        <w:t xml:space="preserve">Before training any model, the tokenizers can be compared directly on the three eval corpora (Figure 1). The medical tokenizer achieves</w:t>
      </w:r>
      <w:r>
        <w:t xml:space="preserve"> </w:t>
      </w:r>
      <w:r>
        <w:rPr>
          <w:bCs/>
          <w:b/>
        </w:rPr>
        <w:t xml:space="preserve">27% better compression</w:t>
      </w:r>
      <w:r>
        <w:t xml:space="preserve"> </w:t>
      </w:r>
      <w:r>
        <w:t xml:space="preserve">on in-domain PubMed (4.85 vs 3.82 chars/token), but</w:t>
      </w:r>
      <w:r>
        <w:t xml:space="preserve"> </w:t>
      </w:r>
      <w:r>
        <w:rPr>
          <w:bCs/>
          <w:b/>
        </w:rPr>
        <w:t xml:space="preserve">31% worse</w:t>
      </w:r>
      <w:r>
        <w:t xml:space="preserve"> </w:t>
      </w:r>
      <w:r>
        <w:t xml:space="preserve">on wikitext (2.85 vs 4.17). MTSamples is a tie (~3.21 vs 3.20). The asymmetry is informative: the medical tokenizer has a compression edge only on text that closely resembles its training corpus.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Figure 1" title="" id="1" name="Picture"/>
            <a:graphic>
              <a:graphicData uri="http://schemas.openxmlformats.org/drawingml/2006/picture">
                <pic:pic>
                  <pic:nvPicPr>
                    <pic:cNvPr descr="artifacts/results/figures/fig1_token_efficien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Figure 1.</w:t>
      </w:r>
      <w:r>
        <w:t xml:space="preserve"> </w:t>
      </w:r>
      <w:r>
        <w:t xml:space="preserve">Characters per token on each held-out corpus. Higher is better for that tokenizer. The medical tokenizer wins on in-domain PubMed, loses on out-of-domain wikitext, and ties on MTSamples (clinical transcripts).</w:t>
      </w:r>
    </w:p>
    <w:p>
      <w:pPr>
        <w:pStyle w:val="BodyText"/>
      </w:pPr>
      <w:r>
        <w:t xml:space="preserve">Showcase tokenization of medical terms makes the mechanism concrete:</w:t>
      </w:r>
    </w:p>
    <w:p>
      <w:pPr>
        <w:pStyle w:val="BodyText"/>
      </w:pPr>
      <w:r>
        <w:rPr>
          <w:bCs/>
          <w:b/>
        </w:rPr>
        <w:t xml:space="preserve">Table 3 — How each tokenizer splits medical vocabulary.</w:t>
      </w:r>
      <w:r>
        <w:t xml:space="preserve"> </w:t>
      </w:r>
      <w:r>
        <w:t xml:space="preserve">| Word | General split | Medical split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cholecystectomy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 \| ole \| cy \| st \| ect \| omy</w:t>
      </w:r>
      <w:r>
        <w:t xml:space="preserve"> </w:t>
      </w:r>
      <w:r>
        <w:t xml:space="preserve">(6) |</w:t>
      </w:r>
      <w:r>
        <w:t xml:space="preserve"> </w:t>
      </w:r>
      <w:r>
        <w:rPr>
          <w:rStyle w:val="VerbatimChar"/>
        </w:rPr>
        <w:t xml:space="preserve">cholecystectomy</w:t>
      </w:r>
      <w:r>
        <w:t xml:space="preserve"> </w:t>
      </w:r>
      <w:r>
        <w:t xml:space="preserve">(1)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laparoscopic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lap \| ar \| os \| c \| op \| ic</w:t>
      </w:r>
      <w:r>
        <w:t xml:space="preserve"> </w:t>
      </w:r>
      <w:r>
        <w:t xml:space="preserve">(6) |</w:t>
      </w:r>
      <w:r>
        <w:t xml:space="preserve"> </w:t>
      </w:r>
      <w:r>
        <w:rPr>
          <w:rStyle w:val="VerbatimChar"/>
        </w:rPr>
        <w:t xml:space="preserve">laparoscopic</w:t>
      </w:r>
      <w:r>
        <w:t xml:space="preserve"> </w:t>
      </w:r>
      <w:r>
        <w:t xml:space="preserve">(1)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pneumonia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 \| ne \| um \| onia</w:t>
      </w:r>
      <w:r>
        <w:t xml:space="preserve"> </w:t>
      </w:r>
      <w:r>
        <w:t xml:space="preserve">(4) |</w:t>
      </w:r>
      <w:r>
        <w:t xml:space="preserve"> </w:t>
      </w:r>
      <w:r>
        <w:rPr>
          <w:rStyle w:val="VerbatimChar"/>
        </w:rPr>
        <w:t xml:space="preserve">pneumonia</w:t>
      </w:r>
      <w:r>
        <w:t xml:space="preserve"> </w:t>
      </w:r>
      <w:r>
        <w:t xml:space="preserve">(1)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hypertension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hy \| per \| t \| ension</w:t>
      </w:r>
      <w:r>
        <w:t xml:space="preserve"> </w:t>
      </w:r>
      <w:r>
        <w:t xml:space="preserve">(4) |</w:t>
      </w:r>
      <w:r>
        <w:t xml:space="preserve"> </w:t>
      </w:r>
      <w:r>
        <w:rPr>
          <w:rStyle w:val="VerbatimChar"/>
        </w:rPr>
        <w:t xml:space="preserve">hypertension</w:t>
      </w:r>
      <w:r>
        <w:t xml:space="preserve"> </w:t>
      </w:r>
      <w:r>
        <w:t xml:space="preserve">(1)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myocardial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my \| oc \| ard \| ial</w:t>
      </w:r>
      <w:r>
        <w:t xml:space="preserve"> </w:t>
      </w:r>
      <w:r>
        <w:t xml:space="preserve">(4) |</w:t>
      </w:r>
      <w:r>
        <w:t xml:space="preserve"> </w:t>
      </w:r>
      <w:r>
        <w:rPr>
          <w:rStyle w:val="VerbatimChar"/>
        </w:rPr>
        <w:t xml:space="preserve">myocardial</w:t>
      </w:r>
      <w:r>
        <w:t xml:space="preserve"> </w:t>
      </w:r>
      <w:r>
        <w:t xml:space="preserve">(1)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aspirin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asp \| ir \| in</w:t>
      </w:r>
      <w:r>
        <w:t xml:space="preserve"> </w:t>
      </w:r>
      <w:r>
        <w:t xml:space="preserve">(3) |</w:t>
      </w:r>
      <w:r>
        <w:t xml:space="preserve"> </w:t>
      </w:r>
      <w:r>
        <w:rPr>
          <w:rStyle w:val="VerbatimChar"/>
        </w:rPr>
        <w:t xml:space="preserve">aspirin</w:t>
      </w:r>
      <w:r>
        <w:t xml:space="preserve"> </w:t>
      </w:r>
      <w:r>
        <w:t xml:space="preserve">(1) |</w:t>
      </w:r>
    </w:p>
    <w:bookmarkEnd w:id="32"/>
    <w:bookmarkStart w:id="35" w:name="training-dynamics"/>
    <w:p>
      <w:pPr>
        <w:pStyle w:val="Heading3"/>
      </w:pPr>
      <w:r>
        <w:t xml:space="preserve">4.2 Training dynamics</w:t>
      </w:r>
    </w:p>
    <w:p>
      <w:pPr>
        <w:pStyle w:val="FirstParagraph"/>
      </w:pPr>
      <w:r>
        <w:t xml:space="preserve">The 1-epoch training run showed general’s loss plateauing at ~3.2 nats from step 2,500 onwards while medical kept descending. I initially interpreted this as general having fully converged while medical still had headroom. The 2-epoch rerun disconfirms that interpretation (Figure 3): general’s plateau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convergence — it was the cosine learning-rate schedule bottoming out at 3e-5. When the schedule is spread across two epochs, general keeps learning past the 1-epoch endpoint and drops a further ~0.4 nats.</w:t>
      </w:r>
    </w:p>
    <w:p>
      <w:pPr>
        <w:pStyle w:val="BodyText"/>
      </w:pPr>
      <w:r>
        <w:drawing>
          <wp:inline>
            <wp:extent cx="5334000" cy="1600200"/>
            <wp:effectExtent b="0" l="0" r="0" t="0"/>
            <wp:docPr descr="Figure 2" title="" id="1" name="Picture"/>
            <a:graphic>
              <a:graphicData uri="http://schemas.openxmlformats.org/drawingml/2006/picture">
                <pic:pic>
                  <pic:nvPicPr>
                    <pic:cNvPr descr="artifacts/results/figures/fig2_training_curves_3ax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Figure 2.</w:t>
      </w:r>
      <w:r>
        <w:t xml:space="preserve"> </w:t>
      </w:r>
      <w:r>
        <w:t xml:space="preserve">2-epoch training loss curves across the three fairness frames (step / tokens / chars). Medical’s per-token loss is higher throughout because each medical token is harder to predict (it carries more chars of information), not because the medical model is worse — BPC in Section 4.3 normalises this.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Figure 3" title="" id="1" name="Picture"/>
            <a:graphic>
              <a:graphicData uri="http://schemas.openxmlformats.org/drawingml/2006/picture">
                <pic:pic>
                  <pic:nvPicPr>
                    <pic:cNvPr descr="artifacts/results/figures/fig3_1ep_vs_2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Figure 3.</w:t>
      </w:r>
      <w:r>
        <w:t xml:space="preserve"> </w:t>
      </w:r>
      <w:r>
        <w:t xml:space="preserve">1-epoch and 2-epoch training runs overlaid. The dashed lines (1-epoch) end where the LR schedule collapses to its floor. The solid lines (2-epoch) continue to descend well past where the 1-epoch runs plateaued — confirming the plateau was LR-schedule-limited, not data-limited.</w:t>
      </w:r>
    </w:p>
    <w:bookmarkEnd w:id="35"/>
    <w:bookmarkStart w:id="37" w:name="held-out-bpc"/>
    <w:p>
      <w:pPr>
        <w:pStyle w:val="Heading3"/>
      </w:pPr>
      <w:r>
        <w:t xml:space="preserve">4.3 Held-out BPC</w:t>
      </w:r>
    </w:p>
    <w:p>
      <w:pPr>
        <w:pStyle w:val="FirstParagraph"/>
      </w:pPr>
      <w:r>
        <w:t xml:space="preserve">Table 4 and Figure 4 present the primary result. At 1 epoch, medical’s advantage on in-domain PubMed was ambiguous (a 0.027 BPC lead under matched compute, essentially a tie under matched text). At 2 epochs, with both models properly converged,</w:t>
      </w:r>
      <w:r>
        <w:t xml:space="preserve"> </w:t>
      </w:r>
      <w:r>
        <w:rPr>
          <w:bCs/>
          <w:b/>
        </w:rPr>
        <w:t xml:space="preserve">medical wins under both fairness frames</w:t>
      </w:r>
      <w:r>
        <w:t xml:space="preserve">: by 0.031 BPC under Option 1 (matched compute) and 0.010 BPC under Option 2 (matched text exposure).</w:t>
      </w:r>
    </w:p>
    <w:p>
      <w:pPr>
        <w:pStyle w:val="BodyText"/>
      </w:pPr>
      <w:r>
        <w:rPr>
          <w:bCs/>
          <w:b/>
        </w:rPr>
        <w:t xml:space="preserve">Table 4 — Held-out BPC (lower is better; bold = per-row minimum).</w:t>
      </w:r>
      <w:r>
        <w:t xml:space="preserve"> </w:t>
      </w:r>
      <w:r>
        <w:t xml:space="preserve">| Corpus | Epochs | general @ Opt-1 | general @ Opt-2 | medical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pubmed_eval | 1 | 1.2207 |</w:t>
      </w:r>
      <w:r>
        <w:t xml:space="preserve"> </w:t>
      </w:r>
      <w:r>
        <w:rPr>
          <w:bCs/>
          <w:b/>
        </w:rPr>
        <w:t xml:space="preserve">1.1926</w:t>
      </w:r>
      <w:r>
        <w:t xml:space="preserve"> </w:t>
      </w:r>
      <w:r>
        <w:t xml:space="preserve">| 1.1942 |</w:t>
      </w:r>
      <w:r>
        <w:t xml:space="preserve"> </w:t>
      </w:r>
      <w:r>
        <w:t xml:space="preserve">| pubmed_eval | 2 | 1.0805 | 1.0598 |</w:t>
      </w:r>
      <w:r>
        <w:t xml:space="preserve"> </w:t>
      </w:r>
      <w:r>
        <w:rPr>
          <w:bCs/>
          <w:b/>
        </w:rPr>
        <w:t xml:space="preserve">1.0496</w:t>
      </w:r>
      <w:r>
        <w:t xml:space="preserve"> </w:t>
      </w:r>
      <w:r>
        <w:t xml:space="preserve">|</w:t>
      </w:r>
      <w:r>
        <w:t xml:space="preserve"> </w:t>
      </w:r>
      <w:r>
        <w:t xml:space="preserve">| wikitext_eval | 1 |</w:t>
      </w:r>
      <w:r>
        <w:t xml:space="preserve"> </w:t>
      </w:r>
      <w:r>
        <w:rPr>
          <w:bCs/>
          <w:b/>
        </w:rPr>
        <w:t xml:space="preserve">2.7536</w:t>
      </w:r>
      <w:r>
        <w:t xml:space="preserve"> </w:t>
      </w:r>
      <w:r>
        <w:t xml:space="preserve">| 2.7664 | 3.8424 |</w:t>
      </w:r>
      <w:r>
        <w:t xml:space="preserve"> </w:t>
      </w:r>
      <w:r>
        <w:t xml:space="preserve">| wikitext_eval | 2 |</w:t>
      </w:r>
      <w:r>
        <w:t xml:space="preserve"> </w:t>
      </w:r>
      <w:r>
        <w:rPr>
          <w:bCs/>
          <w:b/>
        </w:rPr>
        <w:t xml:space="preserve">2.7591</w:t>
      </w:r>
      <w:r>
        <w:t xml:space="preserve"> </w:t>
      </w:r>
      <w:r>
        <w:t xml:space="preserve">| 2.7667 | 3.7172 |</w:t>
      </w:r>
      <w:r>
        <w:t xml:space="preserve"> </w:t>
      </w:r>
      <w:r>
        <w:t xml:space="preserve">| mtsamples_eval | 1 |</w:t>
      </w:r>
      <w:r>
        <w:t xml:space="preserve"> </w:t>
      </w:r>
      <w:r>
        <w:rPr>
          <w:bCs/>
          <w:b/>
        </w:rPr>
        <w:t xml:space="preserve">3.0737</w:t>
      </w:r>
      <w:r>
        <w:t xml:space="preserve"> </w:t>
      </w:r>
      <w:r>
        <w:t xml:space="preserve">| 3.0756 | 3.6571 |</w:t>
      </w:r>
      <w:r>
        <w:t xml:space="preserve"> </w:t>
      </w:r>
      <w:r>
        <w:t xml:space="preserve">| mtsamples_eval | 2 | 3.0340 |</w:t>
      </w:r>
      <w:r>
        <w:t xml:space="preserve"> </w:t>
      </w:r>
      <w:r>
        <w:rPr>
          <w:bCs/>
          <w:b/>
        </w:rPr>
        <w:t xml:space="preserve">3.0278</w:t>
      </w:r>
      <w:r>
        <w:t xml:space="preserve"> </w:t>
      </w:r>
      <w:r>
        <w:t xml:space="preserve">| 3.5070 |</w:t>
      </w:r>
    </w:p>
    <w:p>
      <w:pPr>
        <w:pStyle w:val="BodyText"/>
      </w:pPr>
      <w:r>
        <w:drawing>
          <wp:inline>
            <wp:extent cx="5334000" cy="1981200"/>
            <wp:effectExtent b="0" l="0" r="0" t="0"/>
            <wp:docPr descr="Figure 4" title="" id="1" name="Picture"/>
            <a:graphic>
              <a:graphicData uri="http://schemas.openxmlformats.org/drawingml/2006/picture">
                <pic:pic>
                  <pic:nvPicPr>
                    <pic:cNvPr descr="artifacts/results/figures/fig4_bpc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Figure 4.</w:t>
      </w:r>
      <w:r>
        <w:t xml:space="preserve"> </w:t>
      </w:r>
      <w:r>
        <w:t xml:space="preserve">Held-out BPC by (checkpoint, corpus), at 1 epoch (left) and 2 epochs (right). Medical wins on in-domain PubMed at 2 epochs; general wins on wikitext and MTSamples at both epoch counts.</w:t>
      </w:r>
    </w:p>
    <w:bookmarkEnd w:id="37"/>
    <w:bookmarkStart w:id="39" w:name="X993b095ba1ba37959f5aebb995bc1d451b27cee"/>
    <w:p>
      <w:pPr>
        <w:pStyle w:val="Heading3"/>
      </w:pPr>
      <w:r>
        <w:t xml:space="preserve">4.4 Differential improvement from 1 -&gt; 2 epochs</w:t>
      </w:r>
    </w:p>
    <w:p>
      <w:pPr>
        <w:pStyle w:val="FirstParagraph"/>
      </w:pPr>
      <w:r>
        <w:t xml:space="preserve">Figure 5 isolates the effect of the extra epoch on each model: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Medical improved roughly uniformly</w:t>
      </w:r>
      <w:r>
        <w:t xml:space="preserve"> </w:t>
      </w:r>
      <w:r>
        <w:t xml:space="preserve">across all three corpora (0.12–0.15 BPC everywhere).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General improved strongly only on in-domain PubMed</w:t>
      </w:r>
      <w:r>
        <w:t xml:space="preserve"> </w:t>
      </w:r>
      <w:r>
        <w:t xml:space="preserve">(0.133 BPC); its wikitext BPC did not move at all (+0.0003) and MTSamples moved only modestly (0.048).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Figure 5" title="" id="1" name="Picture"/>
            <a:graphic>
              <a:graphicData uri="http://schemas.openxmlformats.org/drawingml/2006/picture">
                <pic:pic>
                  <pic:nvPicPr>
                    <pic:cNvPr descr="artifacts/results/figures/fig5_bpc_delt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Figure 5.</w:t>
      </w:r>
      <w:r>
        <w:t xml:space="preserve"> </w:t>
      </w:r>
      <w:r>
        <w:t xml:space="preserve">Per-corpus BPC improvement going from 1 to 2 epochs. General is already saturated on corpora its model cannot</w:t>
      </w:r>
      <w:r>
        <w:t xml:space="preserve"> </w:t>
      </w:r>
      <w:r>
        <w:t xml:space="preserve">“</w:t>
      </w:r>
      <w:r>
        <w:t xml:space="preserve">reach</w:t>
      </w:r>
      <w:r>
        <w:t xml:space="preserve">”</w:t>
      </w:r>
      <w:r>
        <w:t xml:space="preserve">; medical was more universally under-trained at 1 epoch and continued to refine everywhere.</w:t>
      </w:r>
    </w:p>
    <w:bookmarkEnd w:id="39"/>
    <w:bookmarkStart w:id="40" w:name="qualitative-differences"/>
    <w:p>
      <w:pPr>
        <w:pStyle w:val="Heading3"/>
      </w:pPr>
      <w:r>
        <w:t xml:space="preserve">4.5 Qualitative differences</w:t>
      </w:r>
    </w:p>
    <w:p>
      <w:pPr>
        <w:pStyle w:val="FirstParagraph"/>
      </w:pPr>
      <w:r>
        <w:t xml:space="preserve">Both models generate medical-flavored text with sentence-level incoherence (29M params + an under-trained regime), but the</w:t>
      </w:r>
      <w:r>
        <w:t xml:space="preserve"> </w:t>
      </w:r>
      <w:r>
        <w:rPr>
          <w:bCs/>
          <w:b/>
        </w:rPr>
        <w:t xml:space="preserve">shape of their errors differs in a way that traces directly to tokenization.</w:t>
      </w:r>
    </w:p>
    <w:p>
      <w:pPr>
        <w:pStyle w:val="BodyText"/>
      </w:pPr>
      <w:r>
        <w:rPr>
          <w:bCs/>
          <w:b/>
        </w:rPr>
        <w:t xml:space="preserve">Table 5 — Medical terminology in 2-epoch generations.</w:t>
      </w:r>
      <w:r>
        <w:t xml:space="preserve"> </w:t>
      </w:r>
      <w:r>
        <w:t xml:space="preserve">| | General model (2-ep) | Medical model (2-ep)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Correctly-emitted rare terms |</w:t>
      </w:r>
      <w:r>
        <w:t xml:space="preserve"> </w:t>
      </w:r>
      <w:r>
        <w:rPr>
          <w:rStyle w:val="VerbatimChar"/>
        </w:rPr>
        <w:t xml:space="preserve">laparoscopic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pulmonary nodules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biliary traction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pancreaticoduodenectomy</w:t>
      </w:r>
      <w:r>
        <w:t xml:space="preserve">,</w:t>
      </w:r>
      <w:r>
        <w:t xml:space="preserve"> </w:t>
      </w:r>
      <w:r>
        <w:rPr>
          <w:rStyle w:val="VerbatimChar"/>
        </w:rPr>
        <w:t xml:space="preserve">carcinoembryonic gastric bypass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extraperitoneal lymphoma</w:t>
      </w:r>
      <w:r>
        <w:t xml:space="preserve">,</w:t>
      </w:r>
      <w:r>
        <w:t xml:space="preserve"> </w:t>
      </w:r>
      <w:r>
        <w:rPr>
          <w:rStyle w:val="VerbatimChar"/>
        </w:rPr>
        <w:t xml:space="preserve">thoracoscopic surgery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tracheotomy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pancreatobiliary resection</w:t>
      </w:r>
      <w:r>
        <w:t xml:space="preserve"> </w:t>
      </w:r>
      <w:r>
        <w:t xml:space="preserve">|</w:t>
      </w:r>
      <w:r>
        <w:t xml:space="preserve"> </w:t>
      </w:r>
      <w:r>
        <w:t xml:space="preserve">| Invented compounds / portmanteaus |</w:t>
      </w:r>
      <w:r>
        <w:t xml:space="preserve"> </w:t>
      </w:r>
      <w:r>
        <w:rPr>
          <w:bCs/>
          <w:b/>
        </w:rPr>
        <w:t xml:space="preserve">udgulopathy</w:t>
      </w:r>
      <w:r>
        <w:t xml:space="preserve">,</w:t>
      </w:r>
      <w:r>
        <w:t xml:space="preserve"> </w:t>
      </w:r>
      <w:r>
        <w:rPr>
          <w:bCs/>
          <w:b/>
        </w:rPr>
        <w:t xml:space="preserve">bronchiolitin stenting</w:t>
      </w:r>
      <w:r>
        <w:t xml:space="preserve">,</w:t>
      </w:r>
      <w:r>
        <w:t xml:space="preserve"> </w:t>
      </w:r>
      <w:r>
        <w:rPr>
          <w:bCs/>
          <w:b/>
        </w:rPr>
        <w:t xml:space="preserve">emtourmesing</w:t>
      </w:r>
      <w:r>
        <w:t xml:space="preserve">,</w:t>
      </w:r>
      <w:r>
        <w:t xml:space="preserve"> </w:t>
      </w:r>
      <w:r>
        <w:rPr>
          <w:bCs/>
          <w:b/>
        </w:rPr>
        <w:t xml:space="preserve">premal lipomas</w:t>
      </w:r>
      <w:r>
        <w:t xml:space="preserve">, (1-ep)</w:t>
      </w:r>
      <w:r>
        <w:t xml:space="preserve"> </w:t>
      </w:r>
      <w:r>
        <w:rPr>
          <w:bCs/>
          <w:b/>
        </w:rPr>
        <w:t xml:space="preserve">cholesterolecystitis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laparoscopic cholecystostomyectomy</w:t>
      </w:r>
      <w:r>
        <w:t xml:space="preserve"> </w:t>
      </w:r>
      <w:r>
        <w:t xml:space="preserve">(composed two real procedure morphemes into a nonexistent one) |</w:t>
      </w:r>
    </w:p>
    <w:p>
      <w:pPr>
        <w:pStyle w:val="BodyText"/>
      </w:pPr>
      <w:r>
        <w:t xml:space="preserve">The mechanism is the same one suggested by the showcase splits in Table 3: when</w:t>
      </w:r>
      <w:r>
        <w:t xml:space="preserve"> </w:t>
      </w:r>
      <w:r>
        <w:rPr>
          <w:rStyle w:val="VerbatimChar"/>
        </w:rPr>
        <w:t xml:space="preserve">cholecystectomy</w:t>
      </w:r>
      <w:r>
        <w:t xml:space="preserve"> </w:t>
      </w:r>
      <w:r>
        <w:t xml:space="preserve">is a single token, the medical model either emits it correctly or not at all; when it is a 6-token sequence, the general model can pick a wrong subword mid-sequence and produce</w:t>
      </w:r>
      <w:r>
        <w:t xml:space="preserve"> </w:t>
      </w:r>
      <w:r>
        <w:rPr>
          <w:rStyle w:val="VerbatimChar"/>
        </w:rPr>
        <w:t xml:space="preserve">cholesterolecystitis</w:t>
      </w:r>
      <w:r>
        <w:t xml:space="preserve">. The medical tokenizer does not make the model immune to fabrication — the</w:t>
      </w:r>
      <w:r>
        <w:t xml:space="preserve"> </w:t>
      </w:r>
      <w:r>
        <w:rPr>
          <w:rStyle w:val="VerbatimChar"/>
        </w:rPr>
        <w:t xml:space="preserve">cholecystostomy + ectomy</w:t>
      </w:r>
      <w:r>
        <w:t xml:space="preserve"> </w:t>
      </w:r>
      <w:r>
        <w:t xml:space="preserve">portmanteau shows it can still invent compounds — but it rules out the specific char-level drift failure mode that the general model is prone to.</w:t>
      </w:r>
    </w:p>
    <w:p>
      <w:pPr>
        <w:pStyle w:val="BodyText"/>
      </w:pPr>
      <w:r>
        <w:rPr>
          <w:bCs/>
          <w:b/>
        </w:rPr>
        <w:t xml:space="preserve">Domain collapse on the out-of-domain prompt.</w:t>
      </w:r>
      <w:r>
        <w:t xml:space="preserve"> </w:t>
      </w:r>
      <w:r>
        <w:t xml:space="preserve">Both models immediately drift away from</w:t>
      </w:r>
      <w:r>
        <w:t xml:space="preserve"> </w:t>
      </w:r>
      <w:r>
        <w:rPr>
          <w:rStyle w:val="VerbatimChar"/>
        </w:rPr>
        <w:t xml:space="preserve">"The quick brown fox"</w:t>
      </w:r>
      <w:r>
        <w:t xml:space="preserve"> </w:t>
      </w:r>
      <w:r>
        <w:t xml:space="preserve">into PubMed-adjacent text, but into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sub-genres: general heads toward bacteriology (</w:t>
      </w:r>
      <w:r>
        <w:rPr>
          <w:rStyle w:val="VerbatimChar"/>
        </w:rPr>
        <w:t xml:space="preserve">"foxacillus scorans"</w:t>
      </w:r>
      <w:r>
        <w:t xml:space="preserve">), medical heads toward biochemistry (</w:t>
      </w:r>
      <w:r>
        <w:rPr>
          <w:rStyle w:val="VerbatimChar"/>
        </w:rPr>
        <w:t xml:space="preserve">"deuterase, cyclic dipeptide, halohexylation"</w:t>
      </w:r>
      <w:r>
        <w:t xml:space="preserve">). Each tokenizer’s vocabulary primes the model toward what it is most ready to emit.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nclusions"/>
    <w:p>
      <w:pPr>
        <w:pStyle w:val="Heading2"/>
      </w:pPr>
      <w:r>
        <w:t xml:space="preserve">5. Conclusions</w:t>
      </w:r>
    </w:p>
    <w:bookmarkStart w:id="42" w:name="main-finding"/>
    <w:p>
      <w:pPr>
        <w:pStyle w:val="Heading3"/>
      </w:pPr>
      <w:r>
        <w:t xml:space="preserve">Main finding</w:t>
      </w:r>
    </w:p>
    <w:p>
      <w:pPr>
        <w:pStyle w:val="FirstParagraph"/>
      </w:pPr>
      <w:r>
        <w:t xml:space="preserve">At matched training horizon, a domain-specific BPE tokenizer produces a modest but consistent in-domain BPC advantage on medical text — 0.010 BPC under matched text exposure, widening to 0.031 BPC under matched compute. Under both fairness frames, the medical tokenizer wins on held-out PubMed at 2 epochs.</w:t>
      </w:r>
    </w:p>
    <w:bookmarkEnd w:id="42"/>
    <w:bookmarkStart w:id="43" w:name="two-surprises-worth-dwelling-on"/>
    <w:p>
      <w:pPr>
        <w:pStyle w:val="Heading3"/>
      </w:pPr>
      <w:r>
        <w:t xml:space="preserve">Two surprises worth dwelling on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advantage does not transfer across medical sub-genres.</w:t>
      </w:r>
      <w:r>
        <w:t xml:space="preserve"> </w:t>
      </w:r>
      <w:r>
        <w:t xml:space="preserve">Despite being a</w:t>
      </w:r>
      <w:r>
        <w:t xml:space="preserve"> </w:t>
      </w:r>
      <w:r>
        <w:t xml:space="preserve">“</w:t>
      </w:r>
      <w:r>
        <w:t xml:space="preserve">medical</w:t>
      </w:r>
      <w:r>
        <w:t xml:space="preserve">”</w:t>
      </w:r>
      <w:r>
        <w:t xml:space="preserve"> </w:t>
      </w:r>
      <w:r>
        <w:t xml:space="preserve">tokenizer, it loses to the general tokenizer by ~0.48 BPC on MTSamples clinical transcripts. Phase-3 token efficiency already hinted at this — the medical tokenizer had no compression edge on MTSamples (tied at ~3.21 chars/tok). Tokenizer specialisation appears to be</w:t>
      </w:r>
      <w:r>
        <w:t xml:space="preserve"> </w:t>
      </w:r>
      <w:r>
        <w:rPr>
          <w:bCs/>
          <w:b/>
        </w:rPr>
        <w:t xml:space="preserve">register-specific, not domain-specific</w:t>
      </w:r>
      <w:r>
        <w:t xml:space="preserve">: the medical tokenizer knows PubMed’s vocabulary of formal academic medicine, not the clipped dictation style of clinical transcripts.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1-epoch run was misleading and initially produced the wrong conclusion.</w:t>
      </w:r>
      <w:r>
        <w:t xml:space="preserve"> </w:t>
      </w:r>
      <w:r>
        <w:t xml:space="preserve">At 1 epoch, Option-2 BPC was a tie and it was tempting to conclude that the medical tokenizer was a compute-efficiency trick that vanished under matched text. The 2-epoch rerun disconfirmed this: general’s</w:t>
      </w:r>
      <w:r>
        <w:t xml:space="preserve"> </w:t>
      </w:r>
      <w:r>
        <w:t xml:space="preserve">“</w:t>
      </w:r>
      <w:r>
        <w:t xml:space="preserve">plateau</w:t>
      </w:r>
      <w:r>
        <w:t xml:space="preserve">”</w:t>
      </w:r>
      <w:r>
        <w:t xml:space="preserve"> </w:t>
      </w:r>
      <w:r>
        <w:t xml:space="preserve">at 1 epoch was a learning-rate schedule artifact (cosine had collapsed to 3e-5), not true convergence. Once the schedule was extended to span the full 2-epoch horizon, general kept improving on in-domain PubMed by ~0.13 BPC — and medical improved even more, by ~0.15 BPC — making medical’s lead robust under both fairness frames.</w:t>
      </w:r>
      <w:r>
        <w:t xml:space="preserve"> </w:t>
      </w:r>
      <w:r>
        <w:rPr>
          <w:bCs/>
          <w:b/>
        </w:rPr>
        <w:t xml:space="preserve">Under-training can mask the effect being studied</w:t>
      </w:r>
      <w:r>
        <w:t xml:space="preserve">, and running a short pilot without checking that both arms have actually converged is a failure mode worth naming.</w:t>
      </w:r>
    </w:p>
    <w:bookmarkEnd w:id="43"/>
    <w:bookmarkStart w:id="44" w:name="what-the-experiment-does-not-show"/>
    <w:p>
      <w:pPr>
        <w:pStyle w:val="Heading3"/>
      </w:pPr>
      <w:r>
        <w:t xml:space="preserve">What the experiment does NOT show</w:t>
      </w:r>
    </w:p>
    <w:p>
      <w:pPr>
        <w:numPr>
          <w:ilvl w:val="0"/>
          <w:numId w:val="1005"/>
        </w:numPr>
        <w:pStyle w:val="Compact"/>
      </w:pPr>
      <w:r>
        <w:t xml:space="preserve">It does not show that medical tokenizers always help. A corpus better matched to MTSamples’ register — or a tokenizer trained on a mixture of PubMed and MTSamples — might fare differently.</w:t>
      </w:r>
    </w:p>
    <w:p>
      <w:pPr>
        <w:numPr>
          <w:ilvl w:val="0"/>
          <w:numId w:val="1005"/>
        </w:numPr>
        <w:pStyle w:val="Compact"/>
      </w:pPr>
      <w:r>
        <w:t xml:space="preserve">It does not show a large effect size. At 29M parameters and ~25–32M training tokens we are roughly 18x below Chinchilla-optimal, and both models are well under-trained; it is plausible the tokenizer gap would widen (or collapse) at scale, but nothing in this project can settle that.</w:t>
      </w:r>
    </w:p>
    <w:p>
      <w:pPr>
        <w:numPr>
          <w:ilvl w:val="0"/>
          <w:numId w:val="1005"/>
        </w:numPr>
        <w:pStyle w:val="Compact"/>
      </w:pPr>
      <w:r>
        <w:t xml:space="preserve">It does not control for the learning-rate-schedule artifact at the Option-1 comparison step: at step 6,141, general is at ~78% of its cosine schedule (LR ~ 7.7e-5) while medical is at ~100% (LR ~ 3e-5). Medical has finished its schedule at the point of comparison; general has not. This nuance does not invalidate the direction of the result, but it is honestly reported.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mpact-and-future-work"/>
    <w:p>
      <w:pPr>
        <w:pStyle w:val="Heading2"/>
      </w:pPr>
      <w:r>
        <w:t xml:space="preserve">6. Impact and Future Work</w:t>
      </w:r>
    </w:p>
    <w:bookmarkStart w:id="46" w:name="scale"/>
    <w:p>
      <w:pPr>
        <w:pStyle w:val="Heading3"/>
      </w:pPr>
      <w:r>
        <w:t xml:space="preserve">Scale</w:t>
      </w:r>
    </w:p>
    <w:p>
      <w:pPr>
        <w:pStyle w:val="FirstParagraph"/>
      </w:pPr>
      <w:r>
        <w:t xml:space="preserve">If this pattern held at production scale — a modest in-domain BPC advantage with an equal-sized cost on out-of-domain text — the design implication is clear: a single organisation training one flagship LLM on a mixed general corpus should keep a general tokenizer; a specialised model for a single professional register (medical literature, legal case law, code in a specific language) might profit from a domain tokenizer, but only if the deployment target’s register matches the tokenizer’s training corpus. The MTSamples result is a warning — intuition that</w:t>
      </w:r>
      <w:r>
        <w:t xml:space="preserve"> </w:t>
      </w:r>
      <w:r>
        <w:t xml:space="preserve">“</w:t>
      </w:r>
      <w:r>
        <w:t xml:space="preserve">medical text is medical text</w:t>
      </w:r>
      <w:r>
        <w:t xml:space="preserve">”</w:t>
      </w:r>
      <w:r>
        <w:t xml:space="preserve"> </w:t>
      </w:r>
      <w:r>
        <w:t xml:space="preserve">is wrong at the tokenizer level, and deployment mismatches between a specialist tokenizer’s training register and the inference-time register are likely to hurt.</w:t>
      </w:r>
    </w:p>
    <w:bookmarkEnd w:id="46"/>
    <w:bookmarkStart w:id="47" w:name="what-i-would-try-next-with-more-compute"/>
    <w:p>
      <w:pPr>
        <w:pStyle w:val="Heading3"/>
      </w:pPr>
      <w:r>
        <w:t xml:space="preserve">What I would try next with more compute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Mixed-corpus tokenizer.</w:t>
      </w:r>
      <w:r>
        <w:t xml:space="preserve"> </w:t>
      </w:r>
      <w:r>
        <w:t xml:space="preserve">Train a BPE on a carefully-balanced mixture of PubMed, MTSamples, drug monographs, and general English. Does it preserve the PubMed advantage while closing the MTSamples gap and reducing the wikitext cost?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Chinchilla-scale training.</w:t>
      </w:r>
      <w:r>
        <w:t xml:space="preserve"> </w:t>
      </w:r>
      <w:r>
        <w:t xml:space="preserve">Run both models to their Chinchilla-optimal ~580M tokens (roughly 10 epochs at this dataset size, or scale the corpus). The tokenizer effect might tighten or widen with true convergence.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Register-aware tokenization.</w:t>
      </w:r>
      <w:r>
        <w:t xml:space="preserve"> </w:t>
      </w:r>
      <w:r>
        <w:t xml:space="preserve">Use a tokenizer-of-tokenizers that can switch subword dictionaries per document based on a lightweight classifier (PubMed vs MTSamples vs general). Costs one classifier forward pass per document; may recover the bulk of the specialist advantage while avoiding the out-of-register collapse.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Loss vs chars curves at scale.</w:t>
      </w:r>
      <w:r>
        <w:t xml:space="preserve"> </w:t>
      </w:r>
      <w:r>
        <w:t xml:space="preserve">The chars-axis plot is the tokenizer-fair way to read training efficiency, and it would be interesting to see whether the two curves in Figure 2(c) cross at some point on a larger compute budget — the current data at step 6,141 has medical ahead per char; it is unclear if that is robust past convergence.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Decoder-side sampling analysis.</w:t>
      </w:r>
      <w:r>
        <w:t xml:space="preserve"> </w:t>
      </w:r>
      <w:r>
        <w:t xml:space="preserve">The finding that the medical model invents</w:t>
      </w:r>
      <w:r>
        <w:t xml:space="preserve"> </w:t>
      </w:r>
      <w:r>
        <w:rPr>
          <w:rStyle w:val="VerbatimChar"/>
        </w:rPr>
        <w:t xml:space="preserve">cholecystostomyectomy</w:t>
      </w:r>
      <w:r>
        <w:t xml:space="preserve"> </w:t>
      </w:r>
      <w:r>
        <w:t xml:space="preserve">(a portmanteau of real morphemes) while the general model invents</w:t>
      </w:r>
      <w:r>
        <w:t xml:space="preserve"> </w:t>
      </w:r>
      <w:r>
        <w:rPr>
          <w:rStyle w:val="VerbatimChar"/>
        </w:rPr>
        <w:t xml:space="preserve">cholesterolecystitis</w:t>
      </w:r>
      <w:r>
        <w:t xml:space="preserve"> </w:t>
      </w:r>
      <w:r>
        <w:t xml:space="preserve">(a char-level drift) suggests that hallucination analysis should be tokenizer-conditioned: different tokenizers produce qualitatively different failure modes, not just different error rates.</w:t>
      </w:r>
    </w:p>
    <w:bookmarkEnd w:id="47"/>
    <w:bookmarkStart w:id="48" w:name="broader-takeaway"/>
    <w:p>
      <w:pPr>
        <w:pStyle w:val="Heading3"/>
      </w:pPr>
      <w:r>
        <w:t xml:space="preserve">Broader takeaway</w:t>
      </w:r>
    </w:p>
    <w:p>
      <w:pPr>
        <w:pStyle w:val="FirstParagraph"/>
      </w:pPr>
      <w:r>
        <w:t xml:space="preserve">Tokenization is often treated as a preprocessing step and receives less attention than architectural or training choices. This project is a small data point in favour of taking it seriously: holding everything else constant, a different tokenizer measurably changed held-out BPC, altered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the model’s generation errors, and — most importantly —</w:t>
      </w:r>
      <w:r>
        <w:t xml:space="preserve"> </w:t>
      </w:r>
      <w:r>
        <w:rPr>
          <w:bCs/>
          <w:b/>
        </w:rPr>
        <w:t xml:space="preserve">did not generalise where I naively assumed it would.</w:t>
      </w:r>
      <w:r>
        <w:t xml:space="preserve"> </w:t>
      </w:r>
      <w:r>
        <w:t xml:space="preserve">The phrase</w:t>
      </w:r>
      <w:r>
        <w:t xml:space="preserve"> </w:t>
      </w:r>
      <w:r>
        <w:t xml:space="preserve">“</w:t>
      </w:r>
      <w:r>
        <w:t xml:space="preserve">medical tokenizer</w:t>
      </w:r>
      <w:r>
        <w:t xml:space="preserve">”</w:t>
      </w:r>
      <w:r>
        <w:t xml:space="preserve"> </w:t>
      </w:r>
      <w:r>
        <w:t xml:space="preserve">is less meaningful than</w:t>
      </w:r>
      <w:r>
        <w:t xml:space="preserve"> </w:t>
      </w:r>
      <w:r>
        <w:t xml:space="preserve">“</w:t>
      </w:r>
      <w:r>
        <w:t xml:space="preserve">PubMed-abstract tokenizer,</w:t>
      </w:r>
      <w:r>
        <w:t xml:space="preserve">”</w:t>
      </w:r>
      <w:r>
        <w:t xml:space="preserve"> </w:t>
      </w:r>
      <w:r>
        <w:t xml:space="preserve">and that distinction only became visible because MTSamples was in the evaluation suite.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pendix-a-reproduction"/>
    <w:p>
      <w:pPr>
        <w:pStyle w:val="Heading2"/>
      </w:pPr>
      <w:r>
        <w:t xml:space="preserve">Appendix A — Reproduction</w:t>
      </w:r>
    </w:p>
    <w:p>
      <w:pPr>
        <w:pStyle w:val="FirstParagraph"/>
      </w:pPr>
      <w:r>
        <w:t xml:space="preserve">All code in</w:t>
      </w:r>
      <w:r>
        <w:t xml:space="preserve"> </w:t>
      </w:r>
      <w:r>
        <w:rPr>
          <w:rStyle w:val="VerbatimChar"/>
        </w:rPr>
        <w:t xml:space="preserve">Project/</w:t>
      </w:r>
      <w:r>
        <w:t xml:space="preserve">. Pipeline orchestrated by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 main.py --phase prepare_data        # ~5–15 min, downloads corpora</w:t>
      </w:r>
      <w:r>
        <w:br/>
      </w:r>
      <w:r>
        <w:rPr>
          <w:rStyle w:val="VerbatimChar"/>
        </w:rPr>
        <w:t xml:space="preserve">python main.py --phase train_tokenizers    # ~5–10 min, CPU-only</w:t>
      </w:r>
      <w:r>
        <w:br/>
      </w:r>
      <w:r>
        <w:rPr>
          <w:rStyle w:val="VerbatimChar"/>
        </w:rPr>
        <w:t xml:space="preserve">python main.py --phase efficiency          # Figure 1 numbers</w:t>
      </w:r>
      <w:r>
        <w:br/>
      </w:r>
      <w:r>
        <w:rPr>
          <w:rStyle w:val="VerbatimChar"/>
        </w:rPr>
        <w:t xml:space="preserve">python main.py --phase construct_datasets  # ~5 min</w:t>
      </w:r>
      <w:r>
        <w:br/>
      </w:r>
      <w:r>
        <w:rPr>
          <w:rStyle w:val="VerbatimChar"/>
        </w:rPr>
        <w:t xml:space="preserve">python main.py --phase train_all           # ~1.5–1.75 hr on RTX 4070 Ti (2 epochs)</w:t>
      </w:r>
      <w:r>
        <w:br/>
      </w:r>
      <w:r>
        <w:rPr>
          <w:rStyle w:val="VerbatimChar"/>
        </w:rPr>
        <w:t xml:space="preserve">python main.py --phase evaluate            # Table 4 numbers</w:t>
      </w:r>
      <w:r>
        <w:br/>
      </w:r>
      <w:r>
        <w:rPr>
          <w:rStyle w:val="VerbatimChar"/>
        </w:rPr>
        <w:t xml:space="preserve">python main.py --phase generate            # Table 5 samples</w:t>
      </w:r>
      <w:r>
        <w:br/>
      </w:r>
      <w:r>
        <w:rPr>
          <w:rStyle w:val="VerbatimChar"/>
        </w:rPr>
        <w:t xml:space="preserve">python make_plots.py                       # all figures</w:t>
      </w:r>
    </w:p>
    <w:p>
      <w:pPr>
        <w:pStyle w:val="FirstParagraph"/>
      </w:pPr>
      <w:r>
        <w:t xml:space="preserve">Reference logs:</w:t>
      </w:r>
      <w:r>
        <w:t xml:space="preserve"> </w:t>
      </w:r>
      <w:r>
        <w:rPr>
          <w:rStyle w:val="VerbatimChar"/>
        </w:rPr>
        <w:t xml:space="preserve">results_1epoch.md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results_2epoch.md</w:t>
      </w:r>
      <w:r>
        <w:t xml:space="preserve">.</w:t>
      </w:r>
      <w:r>
        <w:t xml:space="preserve"> </w:t>
      </w:r>
      <w:r>
        <w:t xml:space="preserve">All weights, datasets, figures, and samples under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(git-ignored).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2026-04-21T19:24:57Z</dcterms:created>
  <dcterms:modified xsi:type="dcterms:W3CDTF">2026-04-21T19:24:57Z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