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C33A" w14:textId="77777777" w:rsidR="006C27F0" w:rsidRDefault="00000000">
      <w:pPr>
        <w:spacing w:after="40"/>
        <w:jc w:val="center"/>
      </w:pPr>
      <w:r>
        <w:rPr>
          <w:b/>
          <w:bCs/>
          <w:sz w:val="28"/>
          <w:szCs w:val="28"/>
        </w:rPr>
        <w:t>Deep Learning for Vessel Segmentation in Cerebral CTA</w:t>
      </w:r>
    </w:p>
    <w:p w14:paraId="75905AB7" w14:textId="77777777" w:rsidR="006C27F0" w:rsidRDefault="00000000">
      <w:pPr>
        <w:spacing w:after="160"/>
        <w:jc w:val="center"/>
      </w:pPr>
      <w:r>
        <w:rPr>
          <w:i/>
          <w:iCs/>
          <w:sz w:val="22"/>
          <w:szCs w:val="22"/>
        </w:rPr>
        <w:t>Midterm Project Proposal</w:t>
      </w:r>
    </w:p>
    <w:p w14:paraId="3DF505BB" w14:textId="77777777" w:rsidR="006C27F0" w:rsidRDefault="00000000">
      <w:pPr>
        <w:spacing w:before="40" w:after="80"/>
        <w:jc w:val="center"/>
      </w:pPr>
      <w:r>
        <w:rPr>
          <w:b/>
          <w:bCs/>
        </w:rPr>
        <w:t>Abstract</w:t>
      </w:r>
    </w:p>
    <w:p w14:paraId="463159FE" w14:textId="77777777" w:rsidR="00EA422F" w:rsidRDefault="00EA422F" w:rsidP="00EA422F">
      <w:pPr>
        <w:spacing w:after="100" w:line="264" w:lineRule="auto"/>
        <w:jc w:val="both"/>
      </w:pPr>
      <w:r>
        <w:t>Accurate segmentation of cerebral vasculature from computed tomography angiography (CTA) is essential for the diagnosis and surgical planning of stroke, intracranial aneurysms, and other cerebrovascular diseases. Despite significant progress in deep learning for medical image segmentation, standard overlap-based training objectives such as Dice and cross-entropy can produce segmentations that score well on aggregate metrics yet contain topological failures, including severed vessel connectivity, that render them clinically unusable. Topology-preserving loss functions such as centerline Dice (</w:t>
      </w:r>
      <w:proofErr w:type="spellStart"/>
      <w:r>
        <w:t>clDice</w:t>
      </w:r>
      <w:proofErr w:type="spellEnd"/>
      <w:r>
        <w:t>) and Skeleton Recall have been proposed to address this, but existing evaluations either introduce them alongside architectural changes or report only aggregate scores from multi-team challenge leaderboards, making it difficult to isolate the effect of the loss function itself.</w:t>
      </w:r>
    </w:p>
    <w:p w14:paraId="6E56525E" w14:textId="77777777" w:rsidR="00EA422F" w:rsidRDefault="00EA422F" w:rsidP="00EA422F">
      <w:pPr>
        <w:spacing w:after="100" w:line="264" w:lineRule="auto"/>
        <w:jc w:val="both"/>
      </w:pPr>
      <w:r>
        <w:t xml:space="preserve">This project presents a controlled ablation study isolating the impact of topology-aware loss functions on cerebral CTA vessel segmentation. We train a 3D U-Net from scratch in </w:t>
      </w:r>
      <w:proofErr w:type="spellStart"/>
      <w:r>
        <w:t>PyTorch</w:t>
      </w:r>
      <w:proofErr w:type="spellEnd"/>
      <w:r>
        <w:t xml:space="preserve"> on the </w:t>
      </w:r>
      <w:proofErr w:type="spellStart"/>
      <w:r>
        <w:t>TopCoW</w:t>
      </w:r>
      <w:proofErr w:type="spellEnd"/>
      <w:r>
        <w:t xml:space="preserve"> 2024 dataset (125 expert-annotated CTA volumes with voxel-level labels for 13 Circle of Willis components) under three loss configurations: (1) Dice + cross-entropy as a baseline, (2) Dice + cross-entropy + soft-</w:t>
      </w:r>
      <w:proofErr w:type="spellStart"/>
      <w:r>
        <w:t>clDice</w:t>
      </w:r>
      <w:proofErr w:type="spellEnd"/>
      <w:r>
        <w:t>, and (3) Dice + cross-entropy + Skeleton Recall. Architecture, preprocessing, patch sampling, augmentation, and all hyperparameters are held identical across runs; we select the 3D U-Net specifically because it remains the strongest baseline under controlled comparison, allowing any performance difference to be attributed solely to the loss formulation rather than confounded by architectural variables.</w:t>
      </w:r>
    </w:p>
    <w:p w14:paraId="3248CE42" w14:textId="00A2CBF9" w:rsidR="00D67F8E" w:rsidRDefault="00EA422F" w:rsidP="00EA422F">
      <w:pPr>
        <w:spacing w:after="100" w:line="264" w:lineRule="auto"/>
        <w:jc w:val="both"/>
        <w:rPr>
          <w:sz w:val="19"/>
          <w:szCs w:val="19"/>
        </w:rPr>
      </w:pPr>
      <w:r>
        <w:t xml:space="preserve">Beyond the standard multi-metric evaluation protocol (DSC, </w:t>
      </w:r>
      <w:proofErr w:type="spellStart"/>
      <w:r>
        <w:t>clDice</w:t>
      </w:r>
      <w:proofErr w:type="spellEnd"/>
      <w:r>
        <w:t xml:space="preserve">, HD95, Betti-0 errors), we contribute two additional analyses absent from the existing literature. First, we provide a stratified per-vessel-class breakdown using the 13 anatomical labels from </w:t>
      </w:r>
      <w:proofErr w:type="spellStart"/>
      <w:r>
        <w:t>TopCoW</w:t>
      </w:r>
      <w:proofErr w:type="spellEnd"/>
      <w:r>
        <w:t xml:space="preserve">, grouping results into large named arteries (e.g., ICA, MCA, BA) and small communicating segments (Acom, </w:t>
      </w:r>
      <w:proofErr w:type="spellStart"/>
      <w:r>
        <w:t>Pcom</w:t>
      </w:r>
      <w:proofErr w:type="spellEnd"/>
      <w:r>
        <w:t xml:space="preserve">). We hypothesize that topology-aware losses disproportionately improve segmentation of the thin communicating arteries that are most clinically significant for aneurysm and collateral flow assessment yet most prone to topological failure. Second, we report computational cost profiling (wall-clock training time, peak GPU memory, time per epoch) across all three configurations, providing the first direct resource comparison of </w:t>
      </w:r>
      <w:proofErr w:type="spellStart"/>
      <w:r>
        <w:t>clDice</w:t>
      </w:r>
      <w:proofErr w:type="spellEnd"/>
      <w:r>
        <w:t xml:space="preserve"> and Skeleton Recall on volumetric CTA data. Finally, drawing on the author's clinical experience as a neurosurgical navigation specialist, we include qualitative 3D renderings of select validation cases to illustrate segmentation failures that are invisible to aggregate metrics but consequential for surgical planning.</w:t>
      </w:r>
    </w:p>
    <w:p w14:paraId="3C69B0E1" w14:textId="77777777" w:rsidR="00D67F8E" w:rsidRDefault="00D67F8E">
      <w:pPr>
        <w:spacing w:after="100" w:line="264" w:lineRule="auto"/>
        <w:jc w:val="both"/>
        <w:rPr>
          <w:sz w:val="19"/>
          <w:szCs w:val="19"/>
        </w:rPr>
      </w:pPr>
    </w:p>
    <w:p w14:paraId="2942AAAA" w14:textId="77777777" w:rsidR="00D67F8E" w:rsidRDefault="00D67F8E">
      <w:pPr>
        <w:spacing w:after="100" w:line="264" w:lineRule="auto"/>
        <w:jc w:val="both"/>
        <w:rPr>
          <w:sz w:val="19"/>
          <w:szCs w:val="19"/>
        </w:rPr>
      </w:pPr>
    </w:p>
    <w:p w14:paraId="1A1BED30" w14:textId="77777777" w:rsidR="00D67F8E" w:rsidRDefault="00D67F8E">
      <w:pPr>
        <w:spacing w:after="100" w:line="264" w:lineRule="auto"/>
        <w:jc w:val="both"/>
        <w:rPr>
          <w:sz w:val="19"/>
          <w:szCs w:val="19"/>
        </w:rPr>
      </w:pPr>
    </w:p>
    <w:p w14:paraId="5A5ADB4F" w14:textId="77777777" w:rsidR="00D67F8E" w:rsidRDefault="00D67F8E">
      <w:pPr>
        <w:spacing w:after="100" w:line="264" w:lineRule="auto"/>
        <w:jc w:val="both"/>
        <w:rPr>
          <w:sz w:val="19"/>
          <w:szCs w:val="19"/>
        </w:rPr>
      </w:pPr>
    </w:p>
    <w:p w14:paraId="28D5F9BD" w14:textId="77777777" w:rsidR="00D67F8E" w:rsidRDefault="00D67F8E">
      <w:pPr>
        <w:spacing w:after="100" w:line="264" w:lineRule="auto"/>
        <w:jc w:val="both"/>
        <w:rPr>
          <w:sz w:val="19"/>
          <w:szCs w:val="19"/>
        </w:rPr>
      </w:pPr>
    </w:p>
    <w:p w14:paraId="63BD90D4" w14:textId="77777777" w:rsidR="00D67F8E" w:rsidRDefault="00D67F8E">
      <w:pPr>
        <w:spacing w:after="100" w:line="264" w:lineRule="auto"/>
        <w:jc w:val="both"/>
        <w:rPr>
          <w:sz w:val="19"/>
          <w:szCs w:val="19"/>
        </w:rPr>
      </w:pPr>
    </w:p>
    <w:p w14:paraId="4ECEC447" w14:textId="77777777" w:rsidR="00D67F8E" w:rsidRDefault="00D67F8E">
      <w:pPr>
        <w:spacing w:after="100" w:line="264" w:lineRule="auto"/>
        <w:jc w:val="both"/>
        <w:rPr>
          <w:sz w:val="19"/>
          <w:szCs w:val="19"/>
        </w:rPr>
      </w:pPr>
    </w:p>
    <w:p w14:paraId="0D567D64" w14:textId="77777777" w:rsidR="00D67F8E" w:rsidRDefault="00D67F8E">
      <w:pPr>
        <w:spacing w:after="100" w:line="264" w:lineRule="auto"/>
        <w:jc w:val="both"/>
        <w:rPr>
          <w:sz w:val="19"/>
          <w:szCs w:val="19"/>
        </w:rPr>
      </w:pPr>
    </w:p>
    <w:p w14:paraId="3CFD5DBE" w14:textId="77777777" w:rsidR="00EA422F" w:rsidRDefault="00EA422F">
      <w:pPr>
        <w:spacing w:after="100" w:line="264" w:lineRule="auto"/>
        <w:jc w:val="both"/>
      </w:pPr>
    </w:p>
    <w:p w14:paraId="4AF29EB1" w14:textId="77777777" w:rsidR="006C27F0" w:rsidRDefault="00000000">
      <w:pPr>
        <w:spacing w:before="120" w:after="60"/>
        <w:jc w:val="center"/>
      </w:pPr>
      <w:r>
        <w:rPr>
          <w:b/>
          <w:bCs/>
          <w:sz w:val="22"/>
          <w:szCs w:val="22"/>
        </w:rPr>
        <w:lastRenderedPageBreak/>
        <w:t>References</w:t>
      </w:r>
    </w:p>
    <w:p w14:paraId="58BED92C" w14:textId="77777777" w:rsidR="006C27F0" w:rsidRDefault="00000000">
      <w:pPr>
        <w:spacing w:after="10" w:line="220" w:lineRule="auto"/>
        <w:ind w:left="360" w:hanging="360"/>
      </w:pPr>
      <w:r>
        <w:rPr>
          <w:sz w:val="15"/>
          <w:szCs w:val="15"/>
        </w:rPr>
        <w:t>[1] F. Isensee et al., “</w:t>
      </w:r>
      <w:proofErr w:type="spellStart"/>
      <w:r>
        <w:rPr>
          <w:sz w:val="15"/>
          <w:szCs w:val="15"/>
        </w:rPr>
        <w:t>nnU</w:t>
      </w:r>
      <w:proofErr w:type="spellEnd"/>
      <w:r>
        <w:rPr>
          <w:sz w:val="15"/>
          <w:szCs w:val="15"/>
        </w:rPr>
        <w:t>-Net: A Self-Configuring Method for Deep Learning-Based Biomedical Image Segmentation,” Nature Methods, vol. 18, pp. 203–211, 2021.</w:t>
      </w:r>
    </w:p>
    <w:p w14:paraId="2C9E43E7" w14:textId="77777777" w:rsidR="006C27F0" w:rsidRDefault="00000000">
      <w:pPr>
        <w:spacing w:after="10" w:line="220" w:lineRule="auto"/>
        <w:ind w:left="360" w:hanging="360"/>
      </w:pPr>
      <w:r>
        <w:rPr>
          <w:sz w:val="15"/>
          <w:szCs w:val="15"/>
        </w:rPr>
        <w:t xml:space="preserve">[2] K. Yang et al., “Benchmarking the </w:t>
      </w:r>
      <w:proofErr w:type="spellStart"/>
      <w:r>
        <w:rPr>
          <w:sz w:val="15"/>
          <w:szCs w:val="15"/>
        </w:rPr>
        <w:t>CoW</w:t>
      </w:r>
      <w:proofErr w:type="spellEnd"/>
      <w:r>
        <w:rPr>
          <w:sz w:val="15"/>
          <w:szCs w:val="15"/>
        </w:rPr>
        <w:t xml:space="preserve"> with the </w:t>
      </w:r>
      <w:proofErr w:type="spellStart"/>
      <w:r>
        <w:rPr>
          <w:sz w:val="15"/>
          <w:szCs w:val="15"/>
        </w:rPr>
        <w:t>TopCoW</w:t>
      </w:r>
      <w:proofErr w:type="spellEnd"/>
      <w:r>
        <w:rPr>
          <w:sz w:val="15"/>
          <w:szCs w:val="15"/>
        </w:rPr>
        <w:t xml:space="preserve"> Challenge: Topology-Aware Anatomical Segmentation of the Circle of Willis for CTA and MRA,” arXiv:2312.17670, 2023.</w:t>
      </w:r>
    </w:p>
    <w:p w14:paraId="4E9FC35E" w14:textId="77777777" w:rsidR="006C27F0" w:rsidRDefault="00000000">
      <w:pPr>
        <w:spacing w:after="10" w:line="220" w:lineRule="auto"/>
        <w:ind w:left="360" w:hanging="360"/>
      </w:pPr>
      <w:r>
        <w:rPr>
          <w:sz w:val="15"/>
          <w:szCs w:val="15"/>
        </w:rPr>
        <w:t>[3] S. Shit et al., “</w:t>
      </w:r>
      <w:proofErr w:type="spellStart"/>
      <w:r>
        <w:rPr>
          <w:sz w:val="15"/>
          <w:szCs w:val="15"/>
        </w:rPr>
        <w:t>clDice</w:t>
      </w:r>
      <w:proofErr w:type="spellEnd"/>
      <w:r>
        <w:rPr>
          <w:sz w:val="15"/>
          <w:szCs w:val="15"/>
        </w:rPr>
        <w:t xml:space="preserve"> — A Novel Topology-Preserving Loss Function for Tubular Structure Segmentation,” in Proc. IEEE/CVF CVPR, pp. 16560–16569, 2021.</w:t>
      </w:r>
    </w:p>
    <w:p w14:paraId="6216CDCE" w14:textId="77777777" w:rsidR="006C27F0" w:rsidRDefault="00000000">
      <w:pPr>
        <w:spacing w:after="10" w:line="220" w:lineRule="auto"/>
        <w:ind w:left="360" w:hanging="360"/>
      </w:pPr>
      <w:r>
        <w:rPr>
          <w:sz w:val="15"/>
          <w:szCs w:val="15"/>
        </w:rPr>
        <w:t>[4] F. Isensee et al., “</w:t>
      </w:r>
      <w:proofErr w:type="spellStart"/>
      <w:r>
        <w:rPr>
          <w:sz w:val="15"/>
          <w:szCs w:val="15"/>
        </w:rPr>
        <w:t>nnU</w:t>
      </w:r>
      <w:proofErr w:type="spellEnd"/>
      <w:r>
        <w:rPr>
          <w:sz w:val="15"/>
          <w:szCs w:val="15"/>
        </w:rPr>
        <w:t>-Net Revisited: A Call for Rigorous Validation in 3D Medical Image Segmentation,” in Proc. MICCAI, 2024.</w:t>
      </w:r>
    </w:p>
    <w:p w14:paraId="1FE23DD1" w14:textId="77777777" w:rsidR="006C27F0" w:rsidRDefault="00000000">
      <w:pPr>
        <w:spacing w:after="10" w:line="220" w:lineRule="auto"/>
        <w:ind w:left="360" w:hanging="360"/>
      </w:pPr>
      <w:r>
        <w:rPr>
          <w:sz w:val="15"/>
          <w:szCs w:val="15"/>
        </w:rPr>
        <w:t>[5] Y. Kirchhoff et al., “Skeleton Recall Loss for Connectivity Conserving and Resource Efficient Segmentation of Thin Tubular Structures,” in Proc. ECCV, 2024.</w:t>
      </w:r>
    </w:p>
    <w:p w14:paraId="456A3692" w14:textId="77777777" w:rsidR="006C27F0" w:rsidRDefault="00000000">
      <w:pPr>
        <w:spacing w:after="10" w:line="220" w:lineRule="auto"/>
        <w:ind w:left="360" w:hanging="360"/>
      </w:pPr>
      <w:r>
        <w:rPr>
          <w:sz w:val="15"/>
          <w:szCs w:val="15"/>
        </w:rPr>
        <w:t>[6] P. Shi et al., “Centerline Boundary Dice Loss for Vascular Segmentation,” in Proc. MICCAI, 2024.</w:t>
      </w:r>
    </w:p>
    <w:p w14:paraId="16BC48FF" w14:textId="77777777" w:rsidR="006C27F0" w:rsidRDefault="00000000">
      <w:pPr>
        <w:spacing w:after="10" w:line="220" w:lineRule="auto"/>
        <w:ind w:left="360" w:hanging="360"/>
      </w:pPr>
      <w:r>
        <w:rPr>
          <w:sz w:val="15"/>
          <w:szCs w:val="15"/>
        </w:rPr>
        <w:t xml:space="preserve">[7] C. </w:t>
      </w:r>
      <w:proofErr w:type="spellStart"/>
      <w:r>
        <w:rPr>
          <w:sz w:val="15"/>
          <w:szCs w:val="15"/>
        </w:rPr>
        <w:t>Acebes</w:t>
      </w:r>
      <w:proofErr w:type="spellEnd"/>
      <w:r>
        <w:rPr>
          <w:sz w:val="15"/>
          <w:szCs w:val="15"/>
        </w:rPr>
        <w:t xml:space="preserve"> et al., “The Centerline-Cross Entropy Loss for Vessel-Like Structure Segmentation,” in Proc. MICCAI, 2024.</w:t>
      </w:r>
    </w:p>
    <w:p w14:paraId="50491CD4" w14:textId="77777777" w:rsidR="006C27F0" w:rsidRDefault="00000000">
      <w:pPr>
        <w:spacing w:after="10" w:line="220" w:lineRule="auto"/>
        <w:ind w:left="360" w:hanging="360"/>
      </w:pPr>
      <w:r>
        <w:rPr>
          <w:sz w:val="15"/>
          <w:szCs w:val="15"/>
        </w:rPr>
        <w:t>[8] A. Berger et al., “Topologically Faithful Multi-class Segmentation in Medical Images,” in Proc. MICCAI, 2024.</w:t>
      </w:r>
    </w:p>
    <w:p w14:paraId="1FE3C1B7" w14:textId="77777777" w:rsidR="006C27F0" w:rsidRDefault="00000000">
      <w:pPr>
        <w:spacing w:after="10" w:line="220" w:lineRule="auto"/>
        <w:ind w:left="360" w:hanging="360"/>
      </w:pPr>
      <w:r>
        <w:rPr>
          <w:sz w:val="15"/>
          <w:szCs w:val="15"/>
        </w:rPr>
        <w:t>[9] P. Shi et al., “</w:t>
      </w:r>
      <w:proofErr w:type="spellStart"/>
      <w:r>
        <w:rPr>
          <w:sz w:val="15"/>
          <w:szCs w:val="15"/>
        </w:rPr>
        <w:t>NexToU</w:t>
      </w:r>
      <w:proofErr w:type="spellEnd"/>
      <w:r>
        <w:rPr>
          <w:sz w:val="15"/>
          <w:szCs w:val="15"/>
        </w:rPr>
        <w:t>: Efficient Topology-Aware U-Net for Medical Image Segmentation,” arXiv:2305.15911, 2023.</w:t>
      </w:r>
    </w:p>
    <w:p w14:paraId="7F8B5501" w14:textId="77777777" w:rsidR="006C27F0" w:rsidRDefault="00000000">
      <w:pPr>
        <w:spacing w:after="10" w:line="220" w:lineRule="auto"/>
        <w:ind w:left="360" w:hanging="360"/>
      </w:pPr>
      <w:r>
        <w:rPr>
          <w:sz w:val="15"/>
          <w:szCs w:val="15"/>
        </w:rPr>
        <w:t xml:space="preserve">[10] L. </w:t>
      </w:r>
      <w:proofErr w:type="spellStart"/>
      <w:r>
        <w:rPr>
          <w:sz w:val="15"/>
          <w:szCs w:val="15"/>
        </w:rPr>
        <w:t>Rougé</w:t>
      </w:r>
      <w:proofErr w:type="spellEnd"/>
      <w:r>
        <w:rPr>
          <w:sz w:val="15"/>
          <w:szCs w:val="15"/>
        </w:rPr>
        <w:t xml:space="preserve"> et al., “Topology Aware Multitask Cascaded U-Net for Cerebrovascular Segmentation,” PLOS ONE, vol. 19, no. 12, 2024.</w:t>
      </w:r>
    </w:p>
    <w:p w14:paraId="1F490B2A" w14:textId="77777777" w:rsidR="006C27F0" w:rsidRDefault="00000000">
      <w:pPr>
        <w:spacing w:after="10" w:line="220" w:lineRule="auto"/>
        <w:ind w:left="360" w:hanging="360"/>
      </w:pPr>
      <w:r>
        <w:rPr>
          <w:sz w:val="15"/>
          <w:szCs w:val="15"/>
        </w:rPr>
        <w:t>[11] F. Fu et al., “Rapid Vessel Segmentation and Reconstruction of Head and Neck Angiograms Using 3D CNN,” Nature Communications, vol. 11, p. 4829, 2020.</w:t>
      </w:r>
    </w:p>
    <w:p w14:paraId="503E1137" w14:textId="77777777" w:rsidR="006C27F0" w:rsidRDefault="00000000">
      <w:pPr>
        <w:spacing w:after="10" w:line="220" w:lineRule="auto"/>
        <w:ind w:left="360" w:hanging="360"/>
      </w:pPr>
      <w:r>
        <w:rPr>
          <w:sz w:val="15"/>
          <w:szCs w:val="15"/>
        </w:rPr>
        <w:t>[12] N. Patel et al., “Evaluating a 3D Deep Learning Pipeline for Cerebral Vessel and Intracranial Aneurysm Segmentation from CTA-DSA Image Pairs,” Neurosurgical Focus, vol. 54, no. 6, 2023.</w:t>
      </w:r>
    </w:p>
    <w:p w14:paraId="78274557" w14:textId="77777777" w:rsidR="006C27F0" w:rsidRDefault="00000000">
      <w:pPr>
        <w:spacing w:after="10" w:line="220" w:lineRule="auto"/>
        <w:ind w:left="360" w:hanging="360"/>
      </w:pPr>
      <w:r>
        <w:rPr>
          <w:sz w:val="15"/>
          <w:szCs w:val="15"/>
        </w:rPr>
        <w:t>[13] E. Calabrese et al., “A Deep Learning Approach for Automated Bone Removal from CTA of the Brain,” J. Imaging Informatics in Medicine, vol. 36, pp. 1125–1137, 2023.</w:t>
      </w:r>
    </w:p>
    <w:p w14:paraId="159C1D0F" w14:textId="77777777" w:rsidR="006C27F0" w:rsidRDefault="00000000">
      <w:pPr>
        <w:spacing w:after="10" w:line="220" w:lineRule="auto"/>
        <w:ind w:left="360" w:hanging="360"/>
      </w:pPr>
      <w:r>
        <w:rPr>
          <w:sz w:val="15"/>
          <w:szCs w:val="15"/>
        </w:rPr>
        <w:t>[14] L. Chen et al., “All Answers Are in the Images: A Review of Deep Learning for Cerebrovascular Segmentation,” Computerized Medical Imaging and Graphics, vol. 107, 2023.</w:t>
      </w:r>
    </w:p>
    <w:p w14:paraId="21138512" w14:textId="77777777" w:rsidR="006C27F0" w:rsidRDefault="00000000">
      <w:pPr>
        <w:spacing w:after="10" w:line="220" w:lineRule="auto"/>
        <w:ind w:left="360" w:hanging="360"/>
      </w:pPr>
      <w:r>
        <w:rPr>
          <w:sz w:val="15"/>
          <w:szCs w:val="15"/>
        </w:rPr>
        <w:t>[15] N. Stucki et al., “Topologically Faithful Image Segmentation via Induced Matching of Persistence Barcodes,” in Proc. ICML, 2023.</w:t>
      </w:r>
    </w:p>
    <w:p w14:paraId="04E4B4FF" w14:textId="77777777" w:rsidR="006C27F0" w:rsidRDefault="00000000">
      <w:pPr>
        <w:spacing w:after="10" w:line="220" w:lineRule="auto"/>
        <w:ind w:left="360" w:hanging="360"/>
      </w:pPr>
      <w:r>
        <w:rPr>
          <w:sz w:val="15"/>
          <w:szCs w:val="15"/>
        </w:rPr>
        <w:t>[16] L. Mou et al., “CS2-Net: Deep Learning Segmentation of Curvilinear Structures in Medical Imaging,” Medical Image Analysis, vol. 67, 2021.</w:t>
      </w:r>
    </w:p>
    <w:sectPr w:rsidR="006C27F0">
      <w:pgSz w:w="12240" w:h="15840"/>
      <w:pgMar w:top="1080" w:right="1260" w:bottom="9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98F"/>
    <w:multiLevelType w:val="hybridMultilevel"/>
    <w:tmpl w:val="1FB6088C"/>
    <w:lvl w:ilvl="0" w:tplc="3C40EFCC">
      <w:start w:val="1"/>
      <w:numFmt w:val="bullet"/>
      <w:lvlText w:val="●"/>
      <w:lvlJc w:val="left"/>
      <w:pPr>
        <w:ind w:left="720" w:hanging="360"/>
      </w:pPr>
    </w:lvl>
    <w:lvl w:ilvl="1" w:tplc="0C2AEB72">
      <w:start w:val="1"/>
      <w:numFmt w:val="bullet"/>
      <w:lvlText w:val="○"/>
      <w:lvlJc w:val="left"/>
      <w:pPr>
        <w:ind w:left="1440" w:hanging="360"/>
      </w:pPr>
    </w:lvl>
    <w:lvl w:ilvl="2" w:tplc="2F4845A2">
      <w:start w:val="1"/>
      <w:numFmt w:val="bullet"/>
      <w:lvlText w:val="■"/>
      <w:lvlJc w:val="left"/>
      <w:pPr>
        <w:ind w:left="2160" w:hanging="360"/>
      </w:pPr>
    </w:lvl>
    <w:lvl w:ilvl="3" w:tplc="B7640A7A">
      <w:start w:val="1"/>
      <w:numFmt w:val="bullet"/>
      <w:lvlText w:val="●"/>
      <w:lvlJc w:val="left"/>
      <w:pPr>
        <w:ind w:left="2880" w:hanging="360"/>
      </w:pPr>
    </w:lvl>
    <w:lvl w:ilvl="4" w:tplc="30F48DF2">
      <w:start w:val="1"/>
      <w:numFmt w:val="bullet"/>
      <w:lvlText w:val="○"/>
      <w:lvlJc w:val="left"/>
      <w:pPr>
        <w:ind w:left="3600" w:hanging="360"/>
      </w:pPr>
    </w:lvl>
    <w:lvl w:ilvl="5" w:tplc="DEBEBA58">
      <w:start w:val="1"/>
      <w:numFmt w:val="bullet"/>
      <w:lvlText w:val="■"/>
      <w:lvlJc w:val="left"/>
      <w:pPr>
        <w:ind w:left="4320" w:hanging="360"/>
      </w:pPr>
    </w:lvl>
    <w:lvl w:ilvl="6" w:tplc="3698F83C">
      <w:start w:val="1"/>
      <w:numFmt w:val="bullet"/>
      <w:lvlText w:val="●"/>
      <w:lvlJc w:val="left"/>
      <w:pPr>
        <w:ind w:left="5040" w:hanging="360"/>
      </w:pPr>
    </w:lvl>
    <w:lvl w:ilvl="7" w:tplc="DC484A6E">
      <w:start w:val="1"/>
      <w:numFmt w:val="bullet"/>
      <w:lvlText w:val="●"/>
      <w:lvlJc w:val="left"/>
      <w:pPr>
        <w:ind w:left="5760" w:hanging="360"/>
      </w:pPr>
    </w:lvl>
    <w:lvl w:ilvl="8" w:tplc="C406A77A">
      <w:start w:val="1"/>
      <w:numFmt w:val="bullet"/>
      <w:lvlText w:val="●"/>
      <w:lvlJc w:val="left"/>
      <w:pPr>
        <w:ind w:left="6480" w:hanging="360"/>
      </w:pPr>
    </w:lvl>
  </w:abstractNum>
  <w:num w:numId="1" w16cid:durableId="1608001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F0"/>
    <w:rsid w:val="006C27F0"/>
    <w:rsid w:val="00D67F8E"/>
    <w:rsid w:val="00EA422F"/>
    <w:rsid w:val="00FD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399E00"/>
  <w15:docId w15:val="{DBE78E46-9E98-8B42-91AA-FE2ADA5C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Samih Amer</cp:lastModifiedBy>
  <cp:revision>3</cp:revision>
  <dcterms:created xsi:type="dcterms:W3CDTF">2026-03-22T21:52:00Z</dcterms:created>
  <dcterms:modified xsi:type="dcterms:W3CDTF">2026-03-22T23:30:00Z</dcterms:modified>
</cp:coreProperties>
</file>